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9CC8" w14:textId="77777777" w:rsidR="00B82892" w:rsidRDefault="00B82892" w:rsidP="00B82892">
      <w:pPr>
        <w:rPr>
          <w:rFonts w:ascii="Arial" w:hAnsi="Arial" w:cs="Arial"/>
          <w:b/>
          <w:bCs/>
        </w:rPr>
      </w:pPr>
    </w:p>
    <w:p w14:paraId="52E15DBC" w14:textId="3CCCA7DB" w:rsidR="003F6F41" w:rsidRDefault="003F6F41" w:rsidP="00B82892">
      <w:pPr>
        <w:rPr>
          <w:rFonts w:ascii="Arial" w:hAnsi="Arial" w:cs="Arial"/>
          <w:b/>
          <w:bCs/>
        </w:rPr>
      </w:pPr>
      <w:r w:rsidRPr="007E132E">
        <w:rPr>
          <w:rFonts w:ascii="Arial" w:hAnsi="Arial" w:cs="Arial"/>
          <w:b/>
          <w:bCs/>
        </w:rPr>
        <w:t>“</w:t>
      </w:r>
      <w:r w:rsidR="00216AE9">
        <w:rPr>
          <w:rFonts w:ascii="Arial" w:hAnsi="Arial" w:cs="Arial"/>
          <w:b/>
          <w:bCs/>
        </w:rPr>
        <w:t>Avoiding t</w:t>
      </w:r>
      <w:r w:rsidRPr="007E132E">
        <w:rPr>
          <w:rFonts w:ascii="Arial" w:hAnsi="Arial" w:cs="Arial"/>
          <w:b/>
          <w:bCs/>
        </w:rPr>
        <w:t>he Black Hole” – Why the Custody Notification Service is such an important development for Aboriginal people in police custody in the Northern Territory.</w:t>
      </w:r>
    </w:p>
    <w:p w14:paraId="146E15A4" w14:textId="5E40F5B0" w:rsidR="00B82892" w:rsidRDefault="00B82892" w:rsidP="003F6F41">
      <w:pPr>
        <w:rPr>
          <w:rFonts w:ascii="Arial" w:hAnsi="Arial" w:cs="Arial"/>
          <w:b/>
          <w:bCs/>
        </w:rPr>
      </w:pPr>
    </w:p>
    <w:p w14:paraId="7D1E5B38" w14:textId="109E5DF8" w:rsidR="00B82892" w:rsidRDefault="00B82892" w:rsidP="003F6F41">
      <w:pPr>
        <w:rPr>
          <w:rFonts w:ascii="Arial" w:hAnsi="Arial" w:cs="Arial"/>
          <w:b/>
          <w:bCs/>
        </w:rPr>
      </w:pPr>
    </w:p>
    <w:p w14:paraId="2687B8DB" w14:textId="5807FDED" w:rsidR="00B82892" w:rsidRDefault="00B82892" w:rsidP="003F6F41">
      <w:pPr>
        <w:rPr>
          <w:rFonts w:ascii="Arial" w:hAnsi="Arial" w:cs="Arial"/>
          <w:b/>
          <w:bCs/>
        </w:rPr>
      </w:pPr>
    </w:p>
    <w:p w14:paraId="45A54FEE" w14:textId="71F82756" w:rsidR="00B82892" w:rsidRDefault="00B82892" w:rsidP="003F6F41">
      <w:pPr>
        <w:rPr>
          <w:rFonts w:ascii="Arial" w:hAnsi="Arial" w:cs="Arial"/>
          <w:b/>
          <w:bCs/>
        </w:rPr>
      </w:pPr>
    </w:p>
    <w:p w14:paraId="580A1231" w14:textId="77777777" w:rsidR="00B82892" w:rsidRDefault="00B82892" w:rsidP="003F6F41">
      <w:pPr>
        <w:rPr>
          <w:rFonts w:ascii="Arial" w:hAnsi="Arial" w:cs="Arial"/>
          <w:b/>
          <w:bCs/>
        </w:rPr>
      </w:pPr>
    </w:p>
    <w:p w14:paraId="785B0CD3" w14:textId="77777777" w:rsidR="00B82892" w:rsidRDefault="00B82892" w:rsidP="003F6F41">
      <w:pPr>
        <w:rPr>
          <w:rFonts w:ascii="Arial" w:hAnsi="Arial" w:cs="Arial"/>
          <w:b/>
          <w:bCs/>
        </w:rPr>
      </w:pPr>
    </w:p>
    <w:p w14:paraId="64BD1EBB" w14:textId="4650DDC0" w:rsidR="00B82892" w:rsidRDefault="00B82892" w:rsidP="003F6F41">
      <w:pPr>
        <w:rPr>
          <w:rFonts w:ascii="Arial" w:hAnsi="Arial" w:cs="Arial"/>
          <w:b/>
          <w:bCs/>
        </w:rPr>
      </w:pPr>
    </w:p>
    <w:p w14:paraId="2757E538" w14:textId="77777777" w:rsidR="00B82892" w:rsidRDefault="00B82892" w:rsidP="003F6F41">
      <w:pPr>
        <w:rPr>
          <w:rFonts w:ascii="Arial" w:hAnsi="Arial" w:cs="Arial"/>
          <w:b/>
          <w:bCs/>
        </w:rPr>
      </w:pPr>
    </w:p>
    <w:p w14:paraId="39484ADC" w14:textId="256CBB7B" w:rsidR="003F1AB2" w:rsidRDefault="003F1AB2" w:rsidP="003F6F41">
      <w:pPr>
        <w:rPr>
          <w:rFonts w:ascii="Arial" w:hAnsi="Arial" w:cs="Arial"/>
          <w:b/>
          <w:bCs/>
        </w:rPr>
      </w:pPr>
    </w:p>
    <w:p w14:paraId="39CB6EB1" w14:textId="296B6B4A" w:rsidR="003F1AB2" w:rsidRDefault="00B82892" w:rsidP="00B82892">
      <w:pPr>
        <w:rPr>
          <w:rFonts w:ascii="Arial" w:hAnsi="Arial" w:cs="Arial"/>
          <w:b/>
          <w:bCs/>
        </w:rPr>
      </w:pPr>
      <w:r>
        <w:rPr>
          <w:noProof/>
        </w:rPr>
        <w:drawing>
          <wp:inline distT="0" distB="0" distL="0" distR="0" wp14:anchorId="43225822" wp14:editId="3480A0D1">
            <wp:extent cx="6037645" cy="3841589"/>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437" cy="3885995"/>
                    </a:xfrm>
                    <a:prstGeom prst="rect">
                      <a:avLst/>
                    </a:prstGeom>
                    <a:noFill/>
                    <a:ln>
                      <a:noFill/>
                    </a:ln>
                  </pic:spPr>
                </pic:pic>
              </a:graphicData>
            </a:graphic>
          </wp:inline>
        </w:drawing>
      </w:r>
    </w:p>
    <w:p w14:paraId="74E5855B" w14:textId="77777777" w:rsidR="003F1AB2" w:rsidRDefault="003F1AB2" w:rsidP="003F6F41">
      <w:pPr>
        <w:rPr>
          <w:rFonts w:ascii="Arial" w:hAnsi="Arial" w:cs="Arial"/>
          <w:b/>
          <w:bCs/>
        </w:rPr>
      </w:pPr>
    </w:p>
    <w:p w14:paraId="5F8A526E" w14:textId="77777777" w:rsidR="003F1AB2" w:rsidRDefault="003F1AB2" w:rsidP="003F6F41">
      <w:pPr>
        <w:rPr>
          <w:rFonts w:ascii="Arial" w:hAnsi="Arial" w:cs="Arial"/>
          <w:b/>
          <w:bCs/>
        </w:rPr>
      </w:pPr>
    </w:p>
    <w:p w14:paraId="23A93E34" w14:textId="77777777" w:rsidR="003F1AB2" w:rsidRDefault="003F1AB2" w:rsidP="003F6F41">
      <w:pPr>
        <w:rPr>
          <w:rFonts w:ascii="Arial" w:hAnsi="Arial" w:cs="Arial"/>
          <w:b/>
          <w:bCs/>
        </w:rPr>
      </w:pPr>
    </w:p>
    <w:p w14:paraId="30DFBC36" w14:textId="77777777" w:rsidR="003F1AB2" w:rsidRDefault="003F1AB2" w:rsidP="003F6F41">
      <w:pPr>
        <w:rPr>
          <w:rFonts w:ascii="Arial" w:hAnsi="Arial" w:cs="Arial"/>
          <w:b/>
          <w:bCs/>
        </w:rPr>
      </w:pPr>
    </w:p>
    <w:p w14:paraId="092E845A" w14:textId="77777777" w:rsidR="003F1AB2" w:rsidRDefault="003F1AB2" w:rsidP="003F6F41">
      <w:pPr>
        <w:rPr>
          <w:rFonts w:ascii="Arial" w:hAnsi="Arial" w:cs="Arial"/>
          <w:b/>
          <w:bCs/>
        </w:rPr>
      </w:pPr>
    </w:p>
    <w:p w14:paraId="5F62E125" w14:textId="77777777" w:rsidR="003F1AB2" w:rsidRDefault="003F1AB2" w:rsidP="003F6F41">
      <w:pPr>
        <w:rPr>
          <w:rFonts w:ascii="Arial" w:hAnsi="Arial" w:cs="Arial"/>
          <w:b/>
          <w:bCs/>
        </w:rPr>
      </w:pPr>
    </w:p>
    <w:p w14:paraId="749FDAFB" w14:textId="77777777" w:rsidR="003F1AB2" w:rsidRDefault="003F1AB2" w:rsidP="003F6F41">
      <w:pPr>
        <w:rPr>
          <w:rFonts w:ascii="Arial" w:hAnsi="Arial" w:cs="Arial"/>
          <w:b/>
          <w:bCs/>
        </w:rPr>
      </w:pPr>
    </w:p>
    <w:p w14:paraId="3BE79336" w14:textId="77777777" w:rsidR="003F1AB2" w:rsidRDefault="003F1AB2" w:rsidP="003F6F41">
      <w:pPr>
        <w:rPr>
          <w:rFonts w:ascii="Arial" w:hAnsi="Arial" w:cs="Arial"/>
          <w:b/>
          <w:bCs/>
        </w:rPr>
      </w:pPr>
    </w:p>
    <w:p w14:paraId="3A80362F" w14:textId="77777777" w:rsidR="003F1AB2" w:rsidRDefault="003F1AB2" w:rsidP="003F6F41">
      <w:pPr>
        <w:rPr>
          <w:rFonts w:ascii="Arial" w:hAnsi="Arial" w:cs="Arial"/>
          <w:b/>
          <w:bCs/>
        </w:rPr>
      </w:pPr>
    </w:p>
    <w:p w14:paraId="479EA799" w14:textId="77777777" w:rsidR="003F1AB2" w:rsidRDefault="003F1AB2" w:rsidP="003F6F41">
      <w:pPr>
        <w:rPr>
          <w:rFonts w:ascii="Arial" w:hAnsi="Arial" w:cs="Arial"/>
          <w:b/>
          <w:bCs/>
        </w:rPr>
      </w:pPr>
    </w:p>
    <w:p w14:paraId="3F42AB39" w14:textId="77777777" w:rsidR="003F1AB2" w:rsidRDefault="003F1AB2" w:rsidP="003F6F41">
      <w:pPr>
        <w:rPr>
          <w:rFonts w:ascii="Arial" w:hAnsi="Arial" w:cs="Arial"/>
          <w:b/>
          <w:bCs/>
        </w:rPr>
      </w:pPr>
    </w:p>
    <w:p w14:paraId="15709964" w14:textId="77777777" w:rsidR="003F1AB2" w:rsidRDefault="003F1AB2" w:rsidP="003F6F41">
      <w:pPr>
        <w:rPr>
          <w:rFonts w:ascii="Arial" w:hAnsi="Arial" w:cs="Arial"/>
          <w:b/>
          <w:bCs/>
        </w:rPr>
      </w:pPr>
    </w:p>
    <w:p w14:paraId="15FB46DF" w14:textId="77777777" w:rsidR="003F1AB2" w:rsidRDefault="003F1AB2" w:rsidP="00B82892">
      <w:pPr>
        <w:jc w:val="both"/>
        <w:rPr>
          <w:rFonts w:ascii="Arial" w:hAnsi="Arial" w:cs="Arial"/>
          <w:b/>
          <w:bCs/>
        </w:rPr>
      </w:pPr>
    </w:p>
    <w:p w14:paraId="522CCA81" w14:textId="77777777" w:rsidR="003F1AB2" w:rsidRDefault="003F1AB2" w:rsidP="003F6F41">
      <w:pPr>
        <w:rPr>
          <w:rFonts w:ascii="Arial" w:hAnsi="Arial" w:cs="Arial"/>
          <w:b/>
          <w:bCs/>
        </w:rPr>
      </w:pPr>
    </w:p>
    <w:p w14:paraId="57612431" w14:textId="089A0F1B" w:rsidR="003F1AB2" w:rsidRDefault="003F1AB2" w:rsidP="003F6F41">
      <w:pPr>
        <w:rPr>
          <w:rFonts w:ascii="Arial" w:hAnsi="Arial" w:cs="Arial"/>
          <w:b/>
          <w:bCs/>
        </w:rPr>
      </w:pPr>
      <w:r>
        <w:rPr>
          <w:rFonts w:ascii="Arial" w:hAnsi="Arial" w:cs="Arial"/>
          <w:b/>
          <w:bCs/>
        </w:rPr>
        <w:t>Stephen Karpeles</w:t>
      </w:r>
    </w:p>
    <w:p w14:paraId="58A4D055" w14:textId="77777777" w:rsidR="003F1AB2" w:rsidRDefault="003F1AB2" w:rsidP="003F6F41">
      <w:pPr>
        <w:rPr>
          <w:rFonts w:ascii="Arial" w:hAnsi="Arial" w:cs="Arial"/>
          <w:b/>
          <w:bCs/>
        </w:rPr>
      </w:pPr>
    </w:p>
    <w:p w14:paraId="4E86AC8D" w14:textId="2634F4EC" w:rsidR="003F1AB2" w:rsidRPr="007E132E" w:rsidRDefault="003F1AB2" w:rsidP="003F6F41">
      <w:pPr>
        <w:rPr>
          <w:rFonts w:ascii="Arial" w:hAnsi="Arial" w:cs="Arial"/>
          <w:b/>
          <w:bCs/>
        </w:rPr>
      </w:pPr>
      <w:r>
        <w:rPr>
          <w:rFonts w:ascii="Arial" w:hAnsi="Arial" w:cs="Arial"/>
          <w:b/>
          <w:bCs/>
        </w:rPr>
        <w:t>June 2022</w:t>
      </w:r>
    </w:p>
    <w:p w14:paraId="2AD5E218" w14:textId="77777777" w:rsidR="003F6F41" w:rsidRPr="00140250" w:rsidRDefault="003F6F41" w:rsidP="003F6F41">
      <w:pPr>
        <w:rPr>
          <w:rFonts w:ascii="Arial" w:hAnsi="Arial" w:cs="Arial"/>
          <w:b/>
          <w:bCs/>
        </w:rPr>
      </w:pPr>
    </w:p>
    <w:p w14:paraId="7B20D0E8" w14:textId="1928C7DF" w:rsidR="003F1AB2" w:rsidRDefault="003F1AB2" w:rsidP="003F6F41">
      <w:pPr>
        <w:rPr>
          <w:rFonts w:ascii="Arial" w:hAnsi="Arial" w:cs="Arial"/>
          <w:b/>
        </w:rPr>
      </w:pPr>
    </w:p>
    <w:p w14:paraId="4C886896" w14:textId="77777777" w:rsidR="003F1AB2" w:rsidRDefault="003F1AB2" w:rsidP="003F6F41">
      <w:pPr>
        <w:rPr>
          <w:rFonts w:ascii="Arial" w:hAnsi="Arial" w:cs="Arial"/>
          <w:b/>
        </w:rPr>
      </w:pPr>
    </w:p>
    <w:p w14:paraId="27891A85" w14:textId="77777777" w:rsidR="003F1AB2" w:rsidRDefault="003F1AB2" w:rsidP="003F6F41">
      <w:pPr>
        <w:rPr>
          <w:rFonts w:ascii="Arial" w:hAnsi="Arial" w:cs="Arial"/>
          <w:b/>
        </w:rPr>
      </w:pPr>
    </w:p>
    <w:p w14:paraId="78C5AD44" w14:textId="77777777" w:rsidR="003F1AB2" w:rsidRDefault="003F1AB2" w:rsidP="003F6F41">
      <w:pPr>
        <w:rPr>
          <w:rFonts w:ascii="Arial" w:hAnsi="Arial" w:cs="Arial"/>
          <w:b/>
        </w:rPr>
      </w:pPr>
    </w:p>
    <w:p w14:paraId="6A4F82AA" w14:textId="51CB2134" w:rsidR="003F6F41" w:rsidRDefault="003F6F41" w:rsidP="003F6F41">
      <w:pPr>
        <w:rPr>
          <w:rFonts w:ascii="Arial" w:hAnsi="Arial" w:cs="Arial"/>
          <w:b/>
        </w:rPr>
      </w:pPr>
      <w:r w:rsidRPr="00140250">
        <w:rPr>
          <w:rFonts w:ascii="Arial" w:hAnsi="Arial" w:cs="Arial"/>
          <w:b/>
        </w:rPr>
        <w:t xml:space="preserve">ABSTRACT </w:t>
      </w:r>
    </w:p>
    <w:p w14:paraId="0AB3C3F2" w14:textId="77777777" w:rsidR="003F1AB2" w:rsidRPr="00140250" w:rsidRDefault="003F1AB2" w:rsidP="003F6F41">
      <w:pPr>
        <w:rPr>
          <w:rFonts w:ascii="Arial" w:hAnsi="Arial" w:cs="Arial"/>
          <w:b/>
        </w:rPr>
      </w:pPr>
    </w:p>
    <w:p w14:paraId="0754ACB2" w14:textId="6B3E1286" w:rsidR="003F6F41" w:rsidRPr="00140250" w:rsidRDefault="00EB3359" w:rsidP="003F6F41">
      <w:pPr>
        <w:rPr>
          <w:rFonts w:ascii="Arial" w:hAnsi="Arial" w:cs="Arial"/>
        </w:rPr>
      </w:pPr>
      <w:r w:rsidRPr="00140250">
        <w:rPr>
          <w:rFonts w:ascii="Arial" w:hAnsi="Arial" w:cs="Arial"/>
        </w:rPr>
        <w:t>Last</w:t>
      </w:r>
      <w:r w:rsidR="003F6F41" w:rsidRPr="00140250">
        <w:rPr>
          <w:rFonts w:ascii="Arial" w:hAnsi="Arial" w:cs="Arial"/>
        </w:rPr>
        <w:t xml:space="preserve"> year mark</w:t>
      </w:r>
      <w:r w:rsidRPr="00140250">
        <w:rPr>
          <w:rFonts w:ascii="Arial" w:hAnsi="Arial" w:cs="Arial"/>
        </w:rPr>
        <w:t>ed</w:t>
      </w:r>
      <w:r w:rsidR="003F6F41" w:rsidRPr="00140250">
        <w:rPr>
          <w:rFonts w:ascii="Arial" w:hAnsi="Arial" w:cs="Arial"/>
        </w:rPr>
        <w:t xml:space="preserve"> the 30</w:t>
      </w:r>
      <w:r w:rsidR="003F6F41" w:rsidRPr="00140250">
        <w:rPr>
          <w:rFonts w:ascii="Arial" w:hAnsi="Arial" w:cs="Arial"/>
          <w:vertAlign w:val="superscript"/>
        </w:rPr>
        <w:t>th</w:t>
      </w:r>
      <w:r w:rsidR="003F6F41" w:rsidRPr="00140250">
        <w:rPr>
          <w:rFonts w:ascii="Arial" w:hAnsi="Arial" w:cs="Arial"/>
        </w:rPr>
        <w:t xml:space="preserve"> anniversary of the final report </w:t>
      </w:r>
      <w:r w:rsidR="00DD70D0">
        <w:rPr>
          <w:rFonts w:ascii="Arial" w:hAnsi="Arial" w:cs="Arial"/>
        </w:rPr>
        <w:t>from</w:t>
      </w:r>
      <w:r w:rsidR="003F6F41" w:rsidRPr="00140250">
        <w:rPr>
          <w:rFonts w:ascii="Arial" w:hAnsi="Arial" w:cs="Arial"/>
        </w:rPr>
        <w:t xml:space="preserve"> the Royal Commission into Aboriginal Deaths in Custody</w:t>
      </w:r>
      <w:r w:rsidR="008C7C19" w:rsidRPr="00140250">
        <w:rPr>
          <w:rFonts w:ascii="Arial" w:hAnsi="Arial" w:cs="Arial"/>
        </w:rPr>
        <w:t xml:space="preserve"> (“RCAIDIC”)</w:t>
      </w:r>
      <w:r w:rsidR="003F6F41" w:rsidRPr="00140250">
        <w:rPr>
          <w:rFonts w:ascii="Arial" w:hAnsi="Arial" w:cs="Arial"/>
        </w:rPr>
        <w:t xml:space="preserve">. While much of the commentary has rightly focused on the failure of </w:t>
      </w:r>
      <w:r w:rsidR="00DD70D0">
        <w:rPr>
          <w:rFonts w:ascii="Arial" w:hAnsi="Arial" w:cs="Arial"/>
        </w:rPr>
        <w:t>s</w:t>
      </w:r>
      <w:r w:rsidR="003F6F41" w:rsidRPr="00140250">
        <w:rPr>
          <w:rFonts w:ascii="Arial" w:hAnsi="Arial" w:cs="Arial"/>
        </w:rPr>
        <w:t xml:space="preserve">tate and </w:t>
      </w:r>
      <w:r w:rsidR="00DD70D0">
        <w:rPr>
          <w:rFonts w:ascii="Arial" w:hAnsi="Arial" w:cs="Arial"/>
        </w:rPr>
        <w:t>t</w:t>
      </w:r>
      <w:r w:rsidR="003F6F41" w:rsidRPr="00140250">
        <w:rPr>
          <w:rFonts w:ascii="Arial" w:hAnsi="Arial" w:cs="Arial"/>
        </w:rPr>
        <w:t xml:space="preserve">erritory </w:t>
      </w:r>
      <w:r w:rsidR="00DD70D0">
        <w:rPr>
          <w:rFonts w:ascii="Arial" w:hAnsi="Arial" w:cs="Arial"/>
        </w:rPr>
        <w:t>g</w:t>
      </w:r>
      <w:r w:rsidR="003F6F41" w:rsidRPr="00140250">
        <w:rPr>
          <w:rFonts w:ascii="Arial" w:hAnsi="Arial" w:cs="Arial"/>
        </w:rPr>
        <w:t xml:space="preserve">overnments to implement many of its recommendations, this paper will look at one area where </w:t>
      </w:r>
      <w:r w:rsidR="008B4D69">
        <w:rPr>
          <w:rFonts w:ascii="Arial" w:hAnsi="Arial" w:cs="Arial"/>
        </w:rPr>
        <w:t>much-needed</w:t>
      </w:r>
      <w:r w:rsidR="003F6F41" w:rsidRPr="00140250">
        <w:rPr>
          <w:rFonts w:ascii="Arial" w:hAnsi="Arial" w:cs="Arial"/>
        </w:rPr>
        <w:t xml:space="preserve"> reform has occurred: police custody. In particular, the paper will focus on the Custody Notification Service (</w:t>
      </w:r>
      <w:r w:rsidR="008C7C19" w:rsidRPr="00140250">
        <w:rPr>
          <w:rFonts w:ascii="Arial" w:hAnsi="Arial" w:cs="Arial"/>
        </w:rPr>
        <w:t>“</w:t>
      </w:r>
      <w:r w:rsidR="003F6F41" w:rsidRPr="00140250">
        <w:rPr>
          <w:rFonts w:ascii="Arial" w:hAnsi="Arial" w:cs="Arial"/>
        </w:rPr>
        <w:t>CNS</w:t>
      </w:r>
      <w:r w:rsidR="008C7C19" w:rsidRPr="00140250">
        <w:rPr>
          <w:rFonts w:ascii="Arial" w:hAnsi="Arial" w:cs="Arial"/>
        </w:rPr>
        <w:t>”</w:t>
      </w:r>
      <w:r w:rsidR="003F6F41" w:rsidRPr="00140250">
        <w:rPr>
          <w:rFonts w:ascii="Arial" w:hAnsi="Arial" w:cs="Arial"/>
        </w:rPr>
        <w:t>)</w:t>
      </w:r>
      <w:r w:rsidR="003F6F41" w:rsidRPr="00140250">
        <w:rPr>
          <w:rFonts w:ascii="Arial" w:hAnsi="Arial" w:cs="Arial"/>
          <w:color w:val="1F497D"/>
        </w:rPr>
        <w:t xml:space="preserve"> </w:t>
      </w:r>
      <w:r w:rsidR="003F6F41" w:rsidRPr="00140250">
        <w:rPr>
          <w:rFonts w:ascii="Arial" w:hAnsi="Arial" w:cs="Arial"/>
        </w:rPr>
        <w:t>which commenced in the Northern Territory</w:t>
      </w:r>
      <w:r w:rsidR="008C7C19" w:rsidRPr="00140250">
        <w:rPr>
          <w:rFonts w:ascii="Arial" w:hAnsi="Arial" w:cs="Arial"/>
        </w:rPr>
        <w:t xml:space="preserve"> (“NT”)</w:t>
      </w:r>
      <w:r w:rsidR="003F6F41" w:rsidRPr="00140250">
        <w:rPr>
          <w:rFonts w:ascii="Arial" w:hAnsi="Arial" w:cs="Arial"/>
        </w:rPr>
        <w:t xml:space="preserve"> in July 2019. The paper will discuss the significance of the CNS for Aboriginal people when they are taken into police custody in the NT by contrasting their lack of rights with their interstate counterparts. The paper will highlight some of the positive changes the CNS has brought to police culture and relations between Aboriginal people and the police, and the impact it has had, particularly for vulnerable people in police custody. While acknowledging the service’s limitations the paper will argue the CNS must remain an integral part of the custody process in the NT to avoid Aboriginal people disappearing into ‘the black hole’.</w:t>
      </w:r>
    </w:p>
    <w:p w14:paraId="5671E295" w14:textId="77777777" w:rsidR="00646E1E" w:rsidRPr="00140250" w:rsidRDefault="00646E1E">
      <w:pPr>
        <w:rPr>
          <w:rFonts w:ascii="Arial" w:hAnsi="Arial" w:cs="Arial"/>
        </w:rPr>
      </w:pPr>
    </w:p>
    <w:p w14:paraId="6A0E57A0" w14:textId="77777777" w:rsidR="003F6F41" w:rsidRPr="00140250" w:rsidRDefault="003F6F41">
      <w:pPr>
        <w:rPr>
          <w:rFonts w:ascii="Arial" w:hAnsi="Arial" w:cs="Arial"/>
        </w:rPr>
      </w:pPr>
    </w:p>
    <w:p w14:paraId="514DCE14" w14:textId="77777777" w:rsidR="00AE3DEF" w:rsidRDefault="00AE3DEF" w:rsidP="00B01DA6">
      <w:pPr>
        <w:rPr>
          <w:rFonts w:ascii="Arial" w:hAnsi="Arial" w:cs="Arial"/>
          <w:b/>
        </w:rPr>
      </w:pPr>
    </w:p>
    <w:p w14:paraId="4401874C" w14:textId="77777777" w:rsidR="00AE3DEF" w:rsidRDefault="00AE3DEF" w:rsidP="00B01DA6">
      <w:pPr>
        <w:rPr>
          <w:rFonts w:ascii="Arial" w:hAnsi="Arial" w:cs="Arial"/>
          <w:b/>
        </w:rPr>
      </w:pPr>
    </w:p>
    <w:p w14:paraId="4CEBFD86" w14:textId="77777777" w:rsidR="00AE3DEF" w:rsidRDefault="00AE3DEF" w:rsidP="00B01DA6">
      <w:pPr>
        <w:rPr>
          <w:rFonts w:ascii="Arial" w:hAnsi="Arial" w:cs="Arial"/>
          <w:b/>
        </w:rPr>
      </w:pPr>
    </w:p>
    <w:p w14:paraId="3C27735C" w14:textId="77777777" w:rsidR="00AE3DEF" w:rsidRDefault="00AE3DEF" w:rsidP="00B01DA6">
      <w:pPr>
        <w:rPr>
          <w:rFonts w:ascii="Arial" w:hAnsi="Arial" w:cs="Arial"/>
          <w:b/>
        </w:rPr>
      </w:pPr>
    </w:p>
    <w:p w14:paraId="0DD3D52A" w14:textId="77777777" w:rsidR="00AE3DEF" w:rsidRDefault="00AE3DEF" w:rsidP="00B01DA6">
      <w:pPr>
        <w:rPr>
          <w:rFonts w:ascii="Arial" w:hAnsi="Arial" w:cs="Arial"/>
          <w:b/>
        </w:rPr>
      </w:pPr>
    </w:p>
    <w:p w14:paraId="6E95929C" w14:textId="77777777" w:rsidR="00AE3DEF" w:rsidRDefault="00AE3DEF" w:rsidP="00B01DA6">
      <w:pPr>
        <w:rPr>
          <w:rFonts w:ascii="Arial" w:hAnsi="Arial" w:cs="Arial"/>
          <w:b/>
        </w:rPr>
      </w:pPr>
    </w:p>
    <w:p w14:paraId="0C3DC0C8" w14:textId="77777777" w:rsidR="00AE3DEF" w:rsidRDefault="00AE3DEF" w:rsidP="00B01DA6">
      <w:pPr>
        <w:rPr>
          <w:rFonts w:ascii="Arial" w:hAnsi="Arial" w:cs="Arial"/>
          <w:b/>
        </w:rPr>
      </w:pPr>
    </w:p>
    <w:p w14:paraId="44E5888A" w14:textId="77777777" w:rsidR="00AE3DEF" w:rsidRDefault="00AE3DEF" w:rsidP="00B01DA6">
      <w:pPr>
        <w:rPr>
          <w:rFonts w:ascii="Arial" w:hAnsi="Arial" w:cs="Arial"/>
          <w:b/>
        </w:rPr>
      </w:pPr>
    </w:p>
    <w:p w14:paraId="7324567E" w14:textId="77777777" w:rsidR="00AE3DEF" w:rsidRDefault="00AE3DEF" w:rsidP="00B01DA6">
      <w:pPr>
        <w:rPr>
          <w:rFonts w:ascii="Arial" w:hAnsi="Arial" w:cs="Arial"/>
          <w:b/>
        </w:rPr>
      </w:pPr>
    </w:p>
    <w:p w14:paraId="147D9F3A" w14:textId="77777777" w:rsidR="00AE3DEF" w:rsidRDefault="00AE3DEF" w:rsidP="00B01DA6">
      <w:pPr>
        <w:rPr>
          <w:rFonts w:ascii="Arial" w:hAnsi="Arial" w:cs="Arial"/>
          <w:b/>
        </w:rPr>
      </w:pPr>
    </w:p>
    <w:p w14:paraId="17A0F68E" w14:textId="77777777" w:rsidR="00AE3DEF" w:rsidRDefault="00AE3DEF" w:rsidP="00B01DA6">
      <w:pPr>
        <w:rPr>
          <w:rFonts w:ascii="Arial" w:hAnsi="Arial" w:cs="Arial"/>
          <w:b/>
        </w:rPr>
      </w:pPr>
    </w:p>
    <w:p w14:paraId="7215450A" w14:textId="77777777" w:rsidR="00AE3DEF" w:rsidRDefault="00AE3DEF" w:rsidP="00B01DA6">
      <w:pPr>
        <w:rPr>
          <w:rFonts w:ascii="Arial" w:hAnsi="Arial" w:cs="Arial"/>
          <w:b/>
        </w:rPr>
      </w:pPr>
    </w:p>
    <w:p w14:paraId="537A06E8" w14:textId="77777777" w:rsidR="00AE3DEF" w:rsidRDefault="00AE3DEF" w:rsidP="00B01DA6">
      <w:pPr>
        <w:rPr>
          <w:rFonts w:ascii="Arial" w:hAnsi="Arial" w:cs="Arial"/>
          <w:b/>
        </w:rPr>
      </w:pPr>
    </w:p>
    <w:p w14:paraId="280BB311" w14:textId="77777777" w:rsidR="00AE3DEF" w:rsidRDefault="00AE3DEF" w:rsidP="00B01DA6">
      <w:pPr>
        <w:rPr>
          <w:rFonts w:ascii="Arial" w:hAnsi="Arial" w:cs="Arial"/>
          <w:b/>
        </w:rPr>
      </w:pPr>
    </w:p>
    <w:p w14:paraId="54ED2000" w14:textId="77777777" w:rsidR="00AE3DEF" w:rsidRDefault="00AE3DEF" w:rsidP="00B01DA6">
      <w:pPr>
        <w:rPr>
          <w:rFonts w:ascii="Arial" w:hAnsi="Arial" w:cs="Arial"/>
          <w:b/>
        </w:rPr>
      </w:pPr>
    </w:p>
    <w:p w14:paraId="7A066ECB" w14:textId="77777777" w:rsidR="00AE3DEF" w:rsidRDefault="00AE3DEF" w:rsidP="00B01DA6">
      <w:pPr>
        <w:rPr>
          <w:rFonts w:ascii="Arial" w:hAnsi="Arial" w:cs="Arial"/>
          <w:b/>
        </w:rPr>
      </w:pPr>
    </w:p>
    <w:p w14:paraId="0CE1D007" w14:textId="77777777" w:rsidR="00AE3DEF" w:rsidRDefault="00AE3DEF" w:rsidP="00B01DA6">
      <w:pPr>
        <w:rPr>
          <w:rFonts w:ascii="Arial" w:hAnsi="Arial" w:cs="Arial"/>
          <w:b/>
        </w:rPr>
      </w:pPr>
    </w:p>
    <w:p w14:paraId="00B89B57" w14:textId="77777777" w:rsidR="00AE3DEF" w:rsidRDefault="00AE3DEF" w:rsidP="00B01DA6">
      <w:pPr>
        <w:rPr>
          <w:rFonts w:ascii="Arial" w:hAnsi="Arial" w:cs="Arial"/>
          <w:b/>
        </w:rPr>
      </w:pPr>
    </w:p>
    <w:p w14:paraId="47901F84" w14:textId="77777777" w:rsidR="00AE3DEF" w:rsidRDefault="00AE3DEF" w:rsidP="00B01DA6">
      <w:pPr>
        <w:rPr>
          <w:rFonts w:ascii="Arial" w:hAnsi="Arial" w:cs="Arial"/>
          <w:b/>
        </w:rPr>
      </w:pPr>
    </w:p>
    <w:p w14:paraId="051C9B40" w14:textId="77777777" w:rsidR="00AE3DEF" w:rsidRDefault="00AE3DEF" w:rsidP="00B01DA6">
      <w:pPr>
        <w:rPr>
          <w:rFonts w:ascii="Arial" w:hAnsi="Arial" w:cs="Arial"/>
          <w:b/>
        </w:rPr>
      </w:pPr>
    </w:p>
    <w:p w14:paraId="09083BE6" w14:textId="77777777" w:rsidR="00AE3DEF" w:rsidRDefault="00AE3DEF" w:rsidP="00B01DA6">
      <w:pPr>
        <w:rPr>
          <w:rFonts w:ascii="Arial" w:hAnsi="Arial" w:cs="Arial"/>
          <w:b/>
        </w:rPr>
      </w:pPr>
    </w:p>
    <w:p w14:paraId="2DDC9C75" w14:textId="77777777" w:rsidR="00AE3DEF" w:rsidRDefault="00AE3DEF" w:rsidP="00B01DA6">
      <w:pPr>
        <w:rPr>
          <w:rFonts w:ascii="Arial" w:hAnsi="Arial" w:cs="Arial"/>
          <w:b/>
        </w:rPr>
      </w:pPr>
    </w:p>
    <w:p w14:paraId="38FBC6B7" w14:textId="77777777" w:rsidR="00AE3DEF" w:rsidRDefault="00AE3DEF" w:rsidP="00B01DA6">
      <w:pPr>
        <w:rPr>
          <w:rFonts w:ascii="Arial" w:hAnsi="Arial" w:cs="Arial"/>
          <w:b/>
        </w:rPr>
      </w:pPr>
    </w:p>
    <w:p w14:paraId="4C7F3983" w14:textId="77777777" w:rsidR="00AE3DEF" w:rsidRDefault="00AE3DEF" w:rsidP="00B01DA6">
      <w:pPr>
        <w:rPr>
          <w:rFonts w:ascii="Arial" w:hAnsi="Arial" w:cs="Arial"/>
          <w:b/>
        </w:rPr>
      </w:pPr>
    </w:p>
    <w:p w14:paraId="4C69BA87" w14:textId="77777777" w:rsidR="00AE3DEF" w:rsidRDefault="00AE3DEF" w:rsidP="00B01DA6">
      <w:pPr>
        <w:rPr>
          <w:rFonts w:ascii="Arial" w:hAnsi="Arial" w:cs="Arial"/>
          <w:b/>
        </w:rPr>
      </w:pPr>
    </w:p>
    <w:p w14:paraId="34DBA29E" w14:textId="77777777" w:rsidR="00AE3DEF" w:rsidRDefault="00AE3DEF" w:rsidP="00B01DA6">
      <w:pPr>
        <w:rPr>
          <w:rFonts w:ascii="Arial" w:hAnsi="Arial" w:cs="Arial"/>
          <w:b/>
        </w:rPr>
      </w:pPr>
    </w:p>
    <w:p w14:paraId="6529D898" w14:textId="77777777" w:rsidR="00AE3DEF" w:rsidRDefault="00AE3DEF" w:rsidP="00B01DA6">
      <w:pPr>
        <w:rPr>
          <w:rFonts w:ascii="Arial" w:hAnsi="Arial" w:cs="Arial"/>
          <w:b/>
        </w:rPr>
      </w:pPr>
    </w:p>
    <w:p w14:paraId="3D444E96" w14:textId="77777777" w:rsidR="00AE3DEF" w:rsidRDefault="00AE3DEF" w:rsidP="00B01DA6">
      <w:pPr>
        <w:rPr>
          <w:rFonts w:ascii="Arial" w:hAnsi="Arial" w:cs="Arial"/>
          <w:b/>
        </w:rPr>
      </w:pPr>
    </w:p>
    <w:p w14:paraId="6C6275CB" w14:textId="77777777" w:rsidR="00AE3DEF" w:rsidRDefault="00AE3DEF" w:rsidP="00B01DA6">
      <w:pPr>
        <w:rPr>
          <w:rFonts w:ascii="Arial" w:hAnsi="Arial" w:cs="Arial"/>
          <w:b/>
        </w:rPr>
      </w:pPr>
    </w:p>
    <w:p w14:paraId="001AC87B" w14:textId="77777777" w:rsidR="00AE3DEF" w:rsidRDefault="00AE3DEF" w:rsidP="00B01DA6">
      <w:pPr>
        <w:rPr>
          <w:rFonts w:ascii="Arial" w:hAnsi="Arial" w:cs="Arial"/>
          <w:b/>
        </w:rPr>
      </w:pPr>
    </w:p>
    <w:p w14:paraId="2867E9B2" w14:textId="77777777" w:rsidR="00AE3DEF" w:rsidRDefault="00AE3DEF" w:rsidP="00B01DA6">
      <w:pPr>
        <w:rPr>
          <w:rFonts w:ascii="Arial" w:hAnsi="Arial" w:cs="Arial"/>
          <w:b/>
        </w:rPr>
      </w:pPr>
    </w:p>
    <w:p w14:paraId="1E0924E4" w14:textId="77777777" w:rsidR="00AE3DEF" w:rsidRDefault="00AE3DEF" w:rsidP="00B01DA6">
      <w:pPr>
        <w:rPr>
          <w:rFonts w:ascii="Arial" w:hAnsi="Arial" w:cs="Arial"/>
          <w:b/>
        </w:rPr>
      </w:pPr>
    </w:p>
    <w:p w14:paraId="236C6E23" w14:textId="77777777" w:rsidR="00AE3DEF" w:rsidRDefault="00AE3DEF" w:rsidP="00B01DA6">
      <w:pPr>
        <w:rPr>
          <w:rFonts w:ascii="Arial" w:hAnsi="Arial" w:cs="Arial"/>
          <w:b/>
        </w:rPr>
      </w:pPr>
    </w:p>
    <w:p w14:paraId="0ADD45F7" w14:textId="77777777" w:rsidR="00AE3DEF" w:rsidRDefault="00AE3DEF" w:rsidP="00B01DA6">
      <w:pPr>
        <w:rPr>
          <w:rFonts w:ascii="Arial" w:hAnsi="Arial" w:cs="Arial"/>
          <w:b/>
        </w:rPr>
      </w:pPr>
    </w:p>
    <w:p w14:paraId="3E6FEE9B" w14:textId="77777777" w:rsidR="00AE3DEF" w:rsidRDefault="00AE3DEF" w:rsidP="00B01DA6">
      <w:pPr>
        <w:rPr>
          <w:rFonts w:ascii="Arial" w:hAnsi="Arial" w:cs="Arial"/>
          <w:b/>
        </w:rPr>
      </w:pPr>
    </w:p>
    <w:p w14:paraId="09A7290B" w14:textId="77777777" w:rsidR="00AE3DEF" w:rsidRDefault="00AE3DEF" w:rsidP="00B01DA6">
      <w:pPr>
        <w:rPr>
          <w:rFonts w:ascii="Arial" w:hAnsi="Arial" w:cs="Arial"/>
          <w:b/>
        </w:rPr>
      </w:pPr>
    </w:p>
    <w:p w14:paraId="281A7695" w14:textId="77777777" w:rsidR="00AE3DEF" w:rsidRDefault="00AE3DEF" w:rsidP="00B01DA6">
      <w:pPr>
        <w:rPr>
          <w:rFonts w:ascii="Arial" w:hAnsi="Arial" w:cs="Arial"/>
          <w:b/>
        </w:rPr>
      </w:pPr>
    </w:p>
    <w:p w14:paraId="3ED9C2C9" w14:textId="77777777" w:rsidR="00AE3DEF" w:rsidRDefault="00AE3DEF" w:rsidP="00B01DA6">
      <w:pPr>
        <w:rPr>
          <w:rFonts w:ascii="Arial" w:hAnsi="Arial" w:cs="Arial"/>
          <w:b/>
        </w:rPr>
      </w:pPr>
    </w:p>
    <w:p w14:paraId="43448BBD" w14:textId="5AAB25C2" w:rsidR="00B01DA6" w:rsidRPr="00140250" w:rsidRDefault="00EC3FBB" w:rsidP="00B01DA6">
      <w:pPr>
        <w:rPr>
          <w:rFonts w:ascii="Arial" w:hAnsi="Arial" w:cs="Arial"/>
          <w:b/>
        </w:rPr>
      </w:pPr>
      <w:r>
        <w:rPr>
          <w:rFonts w:ascii="Arial" w:hAnsi="Arial" w:cs="Arial"/>
          <w:b/>
        </w:rPr>
        <w:t>Part 1: The</w:t>
      </w:r>
      <w:r w:rsidR="003F1AB2">
        <w:rPr>
          <w:rFonts w:ascii="Arial" w:hAnsi="Arial" w:cs="Arial"/>
          <w:b/>
        </w:rPr>
        <w:t xml:space="preserve"> Black Hole</w:t>
      </w:r>
      <w:r w:rsidR="00FB1241" w:rsidRPr="00140250">
        <w:rPr>
          <w:rFonts w:ascii="Arial" w:hAnsi="Arial" w:cs="Arial"/>
          <w:b/>
        </w:rPr>
        <w:t xml:space="preserve"> </w:t>
      </w:r>
    </w:p>
    <w:p w14:paraId="1941AC4A" w14:textId="77777777" w:rsidR="00B01DA6" w:rsidRPr="00140250" w:rsidRDefault="00B01DA6" w:rsidP="00B01DA6">
      <w:pPr>
        <w:rPr>
          <w:rFonts w:ascii="Arial" w:hAnsi="Arial" w:cs="Arial"/>
          <w:b/>
        </w:rPr>
      </w:pPr>
    </w:p>
    <w:p w14:paraId="077B550C" w14:textId="4873A6A4" w:rsidR="00487EAB" w:rsidRPr="00140250" w:rsidRDefault="008969F3" w:rsidP="00B01DA6">
      <w:pPr>
        <w:rPr>
          <w:rFonts w:ascii="Arial" w:eastAsia="Times New Roman" w:hAnsi="Arial" w:cs="Arial"/>
          <w:color w:val="202124"/>
          <w:lang w:eastAsia="en-AU"/>
        </w:rPr>
      </w:pPr>
      <w:r w:rsidRPr="00140250">
        <w:rPr>
          <w:rFonts w:ascii="Arial" w:hAnsi="Arial" w:cs="Arial"/>
        </w:rPr>
        <w:t xml:space="preserve">According to the </w:t>
      </w:r>
      <w:r w:rsidR="00AE3DEF">
        <w:rPr>
          <w:rFonts w:ascii="Arial" w:hAnsi="Arial" w:cs="Arial"/>
        </w:rPr>
        <w:t xml:space="preserve">Collins online dictionary </w:t>
      </w:r>
      <w:r w:rsidRPr="00140250">
        <w:rPr>
          <w:rFonts w:ascii="Arial" w:hAnsi="Arial" w:cs="Arial"/>
        </w:rPr>
        <w:t xml:space="preserve">a ‘black hole’ has two meanings. </w:t>
      </w:r>
      <w:r w:rsidRPr="00140250">
        <w:rPr>
          <w:rFonts w:ascii="Arial" w:eastAsia="Times New Roman" w:hAnsi="Arial" w:cs="Arial"/>
          <w:color w:val="202124"/>
          <w:lang w:eastAsia="en-AU"/>
        </w:rPr>
        <w:t xml:space="preserve">In astronomy it is a region of space having a gravitational field so intense that </w:t>
      </w:r>
      <w:r w:rsidR="00AE3DEF">
        <w:rPr>
          <w:rFonts w:ascii="Arial" w:eastAsia="Times New Roman" w:hAnsi="Arial" w:cs="Arial"/>
          <w:color w:val="202124"/>
          <w:lang w:eastAsia="en-AU"/>
        </w:rPr>
        <w:t xml:space="preserve">“nothing </w:t>
      </w:r>
      <w:r w:rsidRPr="00140250">
        <w:rPr>
          <w:rFonts w:ascii="Arial" w:eastAsia="Times New Roman" w:hAnsi="Arial" w:cs="Arial"/>
          <w:color w:val="202124"/>
          <w:lang w:eastAsia="en-AU"/>
        </w:rPr>
        <w:t>can escape”</w:t>
      </w:r>
      <w:r w:rsidR="00E31F61">
        <w:rPr>
          <w:rStyle w:val="FootnoteReference"/>
          <w:rFonts w:ascii="Arial" w:eastAsia="Times New Roman" w:hAnsi="Arial" w:cs="Arial"/>
          <w:color w:val="202124"/>
          <w:lang w:eastAsia="en-AU"/>
        </w:rPr>
        <w:footnoteReference w:id="1"/>
      </w:r>
      <w:r w:rsidR="00B01DA6" w:rsidRPr="00140250">
        <w:rPr>
          <w:rFonts w:ascii="Arial" w:eastAsia="Times New Roman" w:hAnsi="Arial" w:cs="Arial"/>
          <w:color w:val="202124"/>
          <w:lang w:eastAsia="en-AU"/>
        </w:rPr>
        <w:t xml:space="preserve">. There is also </w:t>
      </w:r>
      <w:r w:rsidRPr="00140250">
        <w:rPr>
          <w:rFonts w:ascii="Arial" w:eastAsia="Times New Roman" w:hAnsi="Arial" w:cs="Arial"/>
          <w:color w:val="202124"/>
          <w:lang w:eastAsia="en-AU"/>
        </w:rPr>
        <w:t xml:space="preserve">an informal use of the term for a place where lost items apparently </w:t>
      </w:r>
      <w:r w:rsidR="00AE3DEF">
        <w:rPr>
          <w:rFonts w:ascii="Arial" w:eastAsia="Times New Roman" w:hAnsi="Arial" w:cs="Arial"/>
          <w:color w:val="202124"/>
          <w:lang w:eastAsia="en-AU"/>
        </w:rPr>
        <w:t>“</w:t>
      </w:r>
      <w:r w:rsidRPr="00140250">
        <w:rPr>
          <w:rFonts w:ascii="Arial" w:eastAsia="Times New Roman" w:hAnsi="Arial" w:cs="Arial"/>
          <w:color w:val="202124"/>
          <w:lang w:eastAsia="en-AU"/>
        </w:rPr>
        <w:t>disappear without trace”</w:t>
      </w:r>
      <w:r w:rsidR="00E31F61">
        <w:rPr>
          <w:rStyle w:val="FootnoteReference"/>
          <w:rFonts w:ascii="Arial" w:eastAsia="Times New Roman" w:hAnsi="Arial" w:cs="Arial"/>
          <w:color w:val="202124"/>
          <w:lang w:eastAsia="en-AU"/>
        </w:rPr>
        <w:footnoteReference w:id="2"/>
      </w:r>
      <w:r w:rsidRPr="00140250">
        <w:rPr>
          <w:rFonts w:ascii="Arial" w:eastAsia="Times New Roman" w:hAnsi="Arial" w:cs="Arial"/>
          <w:color w:val="202124"/>
          <w:lang w:eastAsia="en-AU"/>
        </w:rPr>
        <w:t xml:space="preserve">. </w:t>
      </w:r>
      <w:r w:rsidR="00B01DA6" w:rsidRPr="00140250">
        <w:rPr>
          <w:rFonts w:ascii="Arial" w:eastAsia="Times New Roman" w:hAnsi="Arial" w:cs="Arial"/>
          <w:color w:val="202124"/>
          <w:lang w:eastAsia="en-AU"/>
        </w:rPr>
        <w:t>Both are apposite to describe the situation of a</w:t>
      </w:r>
      <w:r w:rsidR="00FF2121" w:rsidRPr="00140250">
        <w:rPr>
          <w:rFonts w:ascii="Arial" w:eastAsia="Times New Roman" w:hAnsi="Arial" w:cs="Arial"/>
          <w:color w:val="202124"/>
          <w:lang w:eastAsia="en-AU"/>
        </w:rPr>
        <w:t>n Aboriginal</w:t>
      </w:r>
      <w:r w:rsidR="00B01DA6" w:rsidRPr="00140250">
        <w:rPr>
          <w:rFonts w:ascii="Arial" w:eastAsia="Times New Roman" w:hAnsi="Arial" w:cs="Arial"/>
          <w:color w:val="202124"/>
          <w:lang w:eastAsia="en-AU"/>
        </w:rPr>
        <w:t xml:space="preserve"> person in police custody in the Northern Territory. </w:t>
      </w:r>
    </w:p>
    <w:p w14:paraId="217A6FBF" w14:textId="77777777" w:rsidR="00487EAB" w:rsidRPr="00140250" w:rsidRDefault="00487EAB" w:rsidP="00B01DA6">
      <w:pPr>
        <w:rPr>
          <w:rFonts w:ascii="Arial" w:eastAsia="Times New Roman" w:hAnsi="Arial" w:cs="Arial"/>
          <w:color w:val="202124"/>
          <w:lang w:eastAsia="en-AU"/>
        </w:rPr>
      </w:pPr>
    </w:p>
    <w:p w14:paraId="711DC9AD" w14:textId="4673E2E6" w:rsidR="008969F3" w:rsidRPr="00140250" w:rsidRDefault="00487EAB" w:rsidP="00B01DA6">
      <w:pPr>
        <w:rPr>
          <w:rFonts w:ascii="Arial" w:hAnsi="Arial" w:cs="Arial"/>
          <w:b/>
        </w:rPr>
      </w:pPr>
      <w:r w:rsidRPr="00140250">
        <w:rPr>
          <w:rFonts w:ascii="Arial" w:eastAsia="Times New Roman" w:hAnsi="Arial" w:cs="Arial"/>
          <w:color w:val="202124"/>
          <w:lang w:eastAsia="en-AU"/>
        </w:rPr>
        <w:t>This article paint</w:t>
      </w:r>
      <w:r w:rsidR="00F0588C" w:rsidRPr="00140250">
        <w:rPr>
          <w:rFonts w:ascii="Arial" w:eastAsia="Times New Roman" w:hAnsi="Arial" w:cs="Arial"/>
          <w:color w:val="202124"/>
          <w:lang w:eastAsia="en-AU"/>
        </w:rPr>
        <w:t>s</w:t>
      </w:r>
      <w:r w:rsidRPr="00140250">
        <w:rPr>
          <w:rFonts w:ascii="Arial" w:eastAsia="Times New Roman" w:hAnsi="Arial" w:cs="Arial"/>
          <w:color w:val="202124"/>
          <w:lang w:eastAsia="en-AU"/>
        </w:rPr>
        <w:t xml:space="preserve"> </w:t>
      </w:r>
      <w:r w:rsidR="00F0588C" w:rsidRPr="00140250">
        <w:rPr>
          <w:rFonts w:ascii="Arial" w:eastAsia="Times New Roman" w:hAnsi="Arial" w:cs="Arial"/>
          <w:color w:val="202124"/>
          <w:lang w:eastAsia="en-AU"/>
        </w:rPr>
        <w:t>a</w:t>
      </w:r>
      <w:r w:rsidRPr="00140250">
        <w:rPr>
          <w:rFonts w:ascii="Arial" w:eastAsia="Times New Roman" w:hAnsi="Arial" w:cs="Arial"/>
          <w:color w:val="202124"/>
          <w:lang w:eastAsia="en-AU"/>
        </w:rPr>
        <w:t xml:space="preserve"> bleak picture of the rights of a person in </w:t>
      </w:r>
      <w:r w:rsidR="00516C63" w:rsidRPr="00140250">
        <w:rPr>
          <w:rFonts w:ascii="Arial" w:eastAsia="Times New Roman" w:hAnsi="Arial" w:cs="Arial"/>
          <w:color w:val="202124"/>
          <w:lang w:eastAsia="en-AU"/>
        </w:rPr>
        <w:t xml:space="preserve">police </w:t>
      </w:r>
      <w:r w:rsidRPr="00140250">
        <w:rPr>
          <w:rFonts w:ascii="Arial" w:eastAsia="Times New Roman" w:hAnsi="Arial" w:cs="Arial"/>
          <w:color w:val="202124"/>
          <w:lang w:eastAsia="en-AU"/>
        </w:rPr>
        <w:t>custody in the Northern Territory</w:t>
      </w:r>
      <w:r w:rsidR="00001229" w:rsidRPr="00140250">
        <w:rPr>
          <w:rFonts w:ascii="Arial" w:eastAsia="Times New Roman" w:hAnsi="Arial" w:cs="Arial"/>
          <w:color w:val="202124"/>
          <w:lang w:eastAsia="en-AU"/>
        </w:rPr>
        <w:t xml:space="preserve"> </w:t>
      </w:r>
      <w:r w:rsidR="00F0588C" w:rsidRPr="00140250">
        <w:rPr>
          <w:rFonts w:ascii="Arial" w:hAnsi="Arial" w:cs="Arial"/>
          <w:lang w:val="en-US"/>
        </w:rPr>
        <w:t>by contra</w:t>
      </w:r>
      <w:r w:rsidR="008E0F76" w:rsidRPr="00140250">
        <w:rPr>
          <w:rFonts w:ascii="Arial" w:hAnsi="Arial" w:cs="Arial"/>
          <w:lang w:val="en-US"/>
        </w:rPr>
        <w:t>s</w:t>
      </w:r>
      <w:r w:rsidR="00F0588C" w:rsidRPr="00140250">
        <w:rPr>
          <w:rFonts w:ascii="Arial" w:hAnsi="Arial" w:cs="Arial"/>
          <w:lang w:val="en-US"/>
        </w:rPr>
        <w:t xml:space="preserve">ting those rights, or lack </w:t>
      </w:r>
      <w:r w:rsidR="00516C63" w:rsidRPr="00140250">
        <w:rPr>
          <w:rFonts w:ascii="Arial" w:hAnsi="Arial" w:cs="Arial"/>
          <w:lang w:val="en-US"/>
        </w:rPr>
        <w:t>thereof</w:t>
      </w:r>
      <w:r w:rsidR="00F0588C" w:rsidRPr="00140250">
        <w:rPr>
          <w:rFonts w:ascii="Arial" w:hAnsi="Arial" w:cs="Arial"/>
          <w:lang w:val="en-US"/>
        </w:rPr>
        <w:t>,</w:t>
      </w:r>
      <w:r w:rsidR="00001229" w:rsidRPr="00140250">
        <w:rPr>
          <w:rFonts w:ascii="Arial" w:hAnsi="Arial" w:cs="Arial"/>
          <w:lang w:val="en-US"/>
        </w:rPr>
        <w:t xml:space="preserve"> </w:t>
      </w:r>
      <w:r w:rsidR="00F0588C" w:rsidRPr="00140250">
        <w:rPr>
          <w:rFonts w:ascii="Arial" w:hAnsi="Arial" w:cs="Arial"/>
          <w:lang w:val="en-US"/>
        </w:rPr>
        <w:t xml:space="preserve">with </w:t>
      </w:r>
      <w:r w:rsidR="00001229" w:rsidRPr="00140250">
        <w:rPr>
          <w:rFonts w:ascii="Arial" w:hAnsi="Arial" w:cs="Arial"/>
          <w:lang w:val="en-US"/>
        </w:rPr>
        <w:t>people in custody across Australia</w:t>
      </w:r>
      <w:r w:rsidR="00F0588C" w:rsidRPr="00140250">
        <w:rPr>
          <w:rFonts w:ascii="Arial" w:eastAsia="Times New Roman" w:hAnsi="Arial" w:cs="Arial"/>
          <w:color w:val="202124"/>
          <w:lang w:eastAsia="en-AU"/>
        </w:rPr>
        <w:t>. The article will show that</w:t>
      </w:r>
      <w:r w:rsidR="00001229" w:rsidRPr="00140250">
        <w:rPr>
          <w:rFonts w:ascii="Arial" w:eastAsia="Times New Roman" w:hAnsi="Arial" w:cs="Arial"/>
          <w:color w:val="202124"/>
          <w:lang w:eastAsia="en-AU"/>
        </w:rPr>
        <w:t xml:space="preserve"> </w:t>
      </w:r>
      <w:r w:rsidR="00001229" w:rsidRPr="00140250">
        <w:rPr>
          <w:rFonts w:ascii="Arial" w:hAnsi="Arial" w:cs="Arial"/>
          <w:lang w:val="en-US"/>
        </w:rPr>
        <w:t>despite having the highest proportion of Aboriginal and Torres Strait Islanders in Australia</w:t>
      </w:r>
      <w:r w:rsidR="00DD70D0">
        <w:rPr>
          <w:rStyle w:val="FootnoteReference"/>
          <w:rFonts w:ascii="Arial" w:hAnsi="Arial" w:cs="Arial"/>
          <w:lang w:val="en-US"/>
        </w:rPr>
        <w:footnoteReference w:id="3"/>
      </w:r>
      <w:r w:rsidR="00001229" w:rsidRPr="00140250">
        <w:rPr>
          <w:rFonts w:ascii="Arial" w:hAnsi="Arial" w:cs="Arial"/>
          <w:lang w:val="en-US"/>
        </w:rPr>
        <w:t xml:space="preserve"> and incarcerating them at a greater rate than any other jurisdiction</w:t>
      </w:r>
      <w:r w:rsidR="003F1AB2">
        <w:rPr>
          <w:rStyle w:val="FootnoteReference"/>
          <w:rFonts w:ascii="Arial" w:hAnsi="Arial" w:cs="Arial"/>
          <w:lang w:val="en-US"/>
        </w:rPr>
        <w:footnoteReference w:id="4"/>
      </w:r>
      <w:r w:rsidR="00001229" w:rsidRPr="00140250">
        <w:rPr>
          <w:rFonts w:ascii="Arial" w:hAnsi="Arial" w:cs="Arial"/>
          <w:lang w:val="en-US"/>
        </w:rPr>
        <w:t xml:space="preserve">, </w:t>
      </w:r>
      <w:r w:rsidR="00F0588C" w:rsidRPr="00140250">
        <w:rPr>
          <w:rFonts w:ascii="Arial" w:hAnsi="Arial" w:cs="Arial"/>
          <w:lang w:val="en-US"/>
        </w:rPr>
        <w:t>the NT</w:t>
      </w:r>
      <w:r w:rsidR="00001229" w:rsidRPr="00140250">
        <w:rPr>
          <w:rFonts w:ascii="Arial" w:hAnsi="Arial" w:cs="Arial"/>
          <w:lang w:val="en-US"/>
        </w:rPr>
        <w:t xml:space="preserve"> provides the least statutory protections for Aboriginal people in police custody</w:t>
      </w:r>
      <w:r w:rsidR="00001229" w:rsidRPr="00140250">
        <w:rPr>
          <w:rFonts w:ascii="Arial" w:eastAsia="Times New Roman" w:hAnsi="Arial" w:cs="Arial"/>
          <w:color w:val="202124"/>
          <w:lang w:eastAsia="en-AU"/>
        </w:rPr>
        <w:t xml:space="preserve">. This </w:t>
      </w:r>
      <w:r w:rsidR="00516C63" w:rsidRPr="00140250">
        <w:rPr>
          <w:rFonts w:ascii="Arial" w:eastAsia="Times New Roman" w:hAnsi="Arial" w:cs="Arial"/>
          <w:color w:val="202124"/>
          <w:lang w:eastAsia="en-AU"/>
        </w:rPr>
        <w:t xml:space="preserve">fact </w:t>
      </w:r>
      <w:r w:rsidR="00001229" w:rsidRPr="00140250">
        <w:rPr>
          <w:rFonts w:ascii="Arial" w:eastAsia="Times New Roman" w:hAnsi="Arial" w:cs="Arial"/>
          <w:color w:val="202124"/>
          <w:lang w:eastAsia="en-AU"/>
        </w:rPr>
        <w:t>serve</w:t>
      </w:r>
      <w:r w:rsidR="00516C63" w:rsidRPr="00140250">
        <w:rPr>
          <w:rFonts w:ascii="Arial" w:eastAsia="Times New Roman" w:hAnsi="Arial" w:cs="Arial"/>
          <w:color w:val="202124"/>
          <w:lang w:eastAsia="en-AU"/>
        </w:rPr>
        <w:t>s</w:t>
      </w:r>
      <w:r w:rsidR="00001229" w:rsidRPr="00140250">
        <w:rPr>
          <w:rFonts w:ascii="Arial" w:eastAsia="Times New Roman" w:hAnsi="Arial" w:cs="Arial"/>
          <w:color w:val="202124"/>
          <w:lang w:eastAsia="en-AU"/>
        </w:rPr>
        <w:t xml:space="preserve"> to</w:t>
      </w:r>
      <w:r w:rsidRPr="00140250">
        <w:rPr>
          <w:rFonts w:ascii="Arial" w:eastAsia="Times New Roman" w:hAnsi="Arial" w:cs="Arial"/>
          <w:color w:val="202124"/>
          <w:lang w:eastAsia="en-AU"/>
        </w:rPr>
        <w:t xml:space="preserve"> highlight the importance of the </w:t>
      </w:r>
      <w:r w:rsidR="00516C63" w:rsidRPr="00140250">
        <w:rPr>
          <w:rFonts w:ascii="Arial" w:eastAsia="Times New Roman" w:hAnsi="Arial" w:cs="Arial"/>
          <w:color w:val="202124"/>
          <w:lang w:eastAsia="en-AU"/>
        </w:rPr>
        <w:t>C</w:t>
      </w:r>
      <w:r w:rsidRPr="00140250">
        <w:rPr>
          <w:rFonts w:ascii="Arial" w:eastAsia="Times New Roman" w:hAnsi="Arial" w:cs="Arial"/>
          <w:color w:val="202124"/>
          <w:lang w:eastAsia="en-AU"/>
        </w:rPr>
        <w:t xml:space="preserve">ustody </w:t>
      </w:r>
      <w:r w:rsidR="00516C63" w:rsidRPr="00140250">
        <w:rPr>
          <w:rFonts w:ascii="Arial" w:eastAsia="Times New Roman" w:hAnsi="Arial" w:cs="Arial"/>
          <w:color w:val="202124"/>
          <w:lang w:eastAsia="en-AU"/>
        </w:rPr>
        <w:t>N</w:t>
      </w:r>
      <w:r w:rsidR="00001229" w:rsidRPr="00140250">
        <w:rPr>
          <w:rFonts w:ascii="Arial" w:eastAsia="Times New Roman" w:hAnsi="Arial" w:cs="Arial"/>
          <w:color w:val="202124"/>
          <w:lang w:eastAsia="en-AU"/>
        </w:rPr>
        <w:t xml:space="preserve">otification </w:t>
      </w:r>
      <w:r w:rsidR="00516C63" w:rsidRPr="00140250">
        <w:rPr>
          <w:rFonts w:ascii="Arial" w:eastAsia="Times New Roman" w:hAnsi="Arial" w:cs="Arial"/>
          <w:color w:val="202124"/>
          <w:lang w:eastAsia="en-AU"/>
        </w:rPr>
        <w:t>S</w:t>
      </w:r>
      <w:r w:rsidR="00001229" w:rsidRPr="00140250">
        <w:rPr>
          <w:rFonts w:ascii="Arial" w:eastAsia="Times New Roman" w:hAnsi="Arial" w:cs="Arial"/>
          <w:color w:val="202124"/>
          <w:lang w:eastAsia="en-AU"/>
        </w:rPr>
        <w:t>ervice</w:t>
      </w:r>
      <w:r w:rsidR="00516C63" w:rsidRPr="00140250">
        <w:rPr>
          <w:rFonts w:ascii="Arial" w:eastAsia="Times New Roman" w:hAnsi="Arial" w:cs="Arial"/>
          <w:color w:val="202124"/>
          <w:lang w:eastAsia="en-AU"/>
        </w:rPr>
        <w:t xml:space="preserve"> (“CNS”)</w:t>
      </w:r>
      <w:r w:rsidR="00001229" w:rsidRPr="00140250">
        <w:rPr>
          <w:rFonts w:ascii="Arial" w:eastAsia="Times New Roman" w:hAnsi="Arial" w:cs="Arial"/>
          <w:color w:val="202124"/>
          <w:lang w:eastAsia="en-AU"/>
        </w:rPr>
        <w:t xml:space="preserve"> in the N</w:t>
      </w:r>
      <w:r w:rsidR="008C7C19" w:rsidRPr="00140250">
        <w:rPr>
          <w:rFonts w:ascii="Arial" w:eastAsia="Times New Roman" w:hAnsi="Arial" w:cs="Arial"/>
          <w:color w:val="202124"/>
          <w:lang w:eastAsia="en-AU"/>
        </w:rPr>
        <w:t>T</w:t>
      </w:r>
      <w:r w:rsidRPr="00140250">
        <w:rPr>
          <w:rFonts w:ascii="Arial" w:eastAsia="Times New Roman" w:hAnsi="Arial" w:cs="Arial"/>
          <w:color w:val="202124"/>
          <w:lang w:eastAsia="en-AU"/>
        </w:rPr>
        <w:t>. The paper will review the structure and operation of the ser</w:t>
      </w:r>
      <w:r w:rsidR="00FB1241" w:rsidRPr="00140250">
        <w:rPr>
          <w:rFonts w:ascii="Arial" w:eastAsia="Times New Roman" w:hAnsi="Arial" w:cs="Arial"/>
          <w:color w:val="202124"/>
          <w:lang w:eastAsia="en-AU"/>
        </w:rPr>
        <w:t>vice and comment on its future</w:t>
      </w:r>
      <w:r w:rsidR="008C7C19" w:rsidRPr="00140250">
        <w:rPr>
          <w:rFonts w:ascii="Arial" w:eastAsia="Times New Roman" w:hAnsi="Arial" w:cs="Arial"/>
          <w:color w:val="202124"/>
          <w:lang w:eastAsia="en-AU"/>
        </w:rPr>
        <w:t>,</w:t>
      </w:r>
      <w:r w:rsidR="00516C63" w:rsidRPr="00140250">
        <w:rPr>
          <w:rFonts w:ascii="Arial" w:eastAsia="Times New Roman" w:hAnsi="Arial" w:cs="Arial"/>
          <w:color w:val="202124"/>
          <w:lang w:eastAsia="en-AU"/>
        </w:rPr>
        <w:t xml:space="preserve"> conclud</w:t>
      </w:r>
      <w:r w:rsidR="008C7C19" w:rsidRPr="00140250">
        <w:rPr>
          <w:rFonts w:ascii="Arial" w:eastAsia="Times New Roman" w:hAnsi="Arial" w:cs="Arial"/>
          <w:color w:val="202124"/>
          <w:lang w:eastAsia="en-AU"/>
        </w:rPr>
        <w:t>ing</w:t>
      </w:r>
      <w:r w:rsidR="00FB1241" w:rsidRPr="00140250">
        <w:rPr>
          <w:rFonts w:ascii="Arial" w:eastAsia="Times New Roman" w:hAnsi="Arial" w:cs="Arial"/>
          <w:color w:val="202124"/>
          <w:lang w:eastAsia="en-AU"/>
        </w:rPr>
        <w:t xml:space="preserve"> that in the </w:t>
      </w:r>
      <w:r w:rsidR="00791BF8" w:rsidRPr="00140250">
        <w:rPr>
          <w:rFonts w:ascii="Arial" w:eastAsia="Times New Roman" w:hAnsi="Arial" w:cs="Arial"/>
          <w:color w:val="202124"/>
          <w:lang w:eastAsia="en-AU"/>
        </w:rPr>
        <w:t>arid</w:t>
      </w:r>
      <w:r w:rsidR="00FB1241" w:rsidRPr="00140250">
        <w:rPr>
          <w:rFonts w:ascii="Arial" w:eastAsia="Times New Roman" w:hAnsi="Arial" w:cs="Arial"/>
          <w:color w:val="202124"/>
          <w:lang w:eastAsia="en-AU"/>
        </w:rPr>
        <w:t xml:space="preserve"> landscape of rights in police custody in the N</w:t>
      </w:r>
      <w:r w:rsidR="00FF2121" w:rsidRPr="00140250">
        <w:rPr>
          <w:rFonts w:ascii="Arial" w:eastAsia="Times New Roman" w:hAnsi="Arial" w:cs="Arial"/>
          <w:color w:val="202124"/>
          <w:lang w:eastAsia="en-AU"/>
        </w:rPr>
        <w:t>T</w:t>
      </w:r>
      <w:r w:rsidR="003F1AB2">
        <w:rPr>
          <w:rFonts w:ascii="Arial" w:eastAsia="Times New Roman" w:hAnsi="Arial" w:cs="Arial"/>
          <w:color w:val="202124"/>
          <w:lang w:eastAsia="en-AU"/>
        </w:rPr>
        <w:t>,</w:t>
      </w:r>
      <w:r w:rsidR="00FB1241" w:rsidRPr="00140250">
        <w:rPr>
          <w:rFonts w:ascii="Arial" w:eastAsia="Times New Roman" w:hAnsi="Arial" w:cs="Arial"/>
          <w:color w:val="202124"/>
          <w:lang w:eastAsia="en-AU"/>
        </w:rPr>
        <w:t xml:space="preserve"> the CNS is imperative. </w:t>
      </w:r>
    </w:p>
    <w:p w14:paraId="1ECEE324" w14:textId="77777777" w:rsidR="003F6F41" w:rsidRPr="00140250" w:rsidRDefault="003F6F41">
      <w:pPr>
        <w:rPr>
          <w:rFonts w:ascii="Arial" w:hAnsi="Arial" w:cs="Arial"/>
        </w:rPr>
      </w:pPr>
    </w:p>
    <w:p w14:paraId="01ECA822" w14:textId="7F546346" w:rsidR="00487EAB" w:rsidRPr="00140250" w:rsidRDefault="00487EAB" w:rsidP="00A16A5F">
      <w:pPr>
        <w:pStyle w:val="ListParagraph"/>
        <w:numPr>
          <w:ilvl w:val="0"/>
          <w:numId w:val="6"/>
        </w:numPr>
        <w:rPr>
          <w:rFonts w:ascii="Arial" w:hAnsi="Arial" w:cs="Arial"/>
          <w:b/>
        </w:rPr>
      </w:pPr>
      <w:r w:rsidRPr="00140250">
        <w:rPr>
          <w:rFonts w:ascii="Arial" w:hAnsi="Arial" w:cs="Arial"/>
          <w:b/>
        </w:rPr>
        <w:t xml:space="preserve">Getting sucked in </w:t>
      </w:r>
      <w:r w:rsidR="00F71828" w:rsidRPr="00140250">
        <w:rPr>
          <w:rFonts w:ascii="Arial" w:hAnsi="Arial" w:cs="Arial"/>
          <w:b/>
        </w:rPr>
        <w:t>– Power of arrest</w:t>
      </w:r>
    </w:p>
    <w:p w14:paraId="6EFAE1D6" w14:textId="77777777" w:rsidR="00487EAB" w:rsidRPr="00140250" w:rsidRDefault="00487EAB" w:rsidP="003F6F41">
      <w:pPr>
        <w:rPr>
          <w:rFonts w:ascii="Arial" w:hAnsi="Arial" w:cs="Arial"/>
        </w:rPr>
      </w:pPr>
    </w:p>
    <w:p w14:paraId="29B6C582" w14:textId="7BBCB1BC" w:rsidR="00487EAB" w:rsidRPr="00140250" w:rsidRDefault="008E0F76" w:rsidP="003F6F41">
      <w:pPr>
        <w:rPr>
          <w:rFonts w:ascii="Arial" w:hAnsi="Arial" w:cs="Arial"/>
        </w:rPr>
      </w:pPr>
      <w:bookmarkStart w:id="0" w:name="_Hlk107325211"/>
      <w:r w:rsidRPr="00140250">
        <w:rPr>
          <w:rFonts w:ascii="Arial" w:hAnsi="Arial" w:cs="Arial"/>
        </w:rPr>
        <w:t>The</w:t>
      </w:r>
      <w:r w:rsidR="00487EAB" w:rsidRPr="00140250">
        <w:rPr>
          <w:rFonts w:ascii="Arial" w:hAnsi="Arial" w:cs="Arial"/>
        </w:rPr>
        <w:t xml:space="preserve"> gravitational pull of police custody is strong</w:t>
      </w:r>
      <w:r w:rsidR="00001229" w:rsidRPr="00140250">
        <w:rPr>
          <w:rFonts w:ascii="Arial" w:hAnsi="Arial" w:cs="Arial"/>
        </w:rPr>
        <w:t>er</w:t>
      </w:r>
      <w:r w:rsidR="00487EAB" w:rsidRPr="00140250">
        <w:rPr>
          <w:rFonts w:ascii="Arial" w:hAnsi="Arial" w:cs="Arial"/>
        </w:rPr>
        <w:t xml:space="preserve"> </w:t>
      </w:r>
      <w:r w:rsidRPr="00140250">
        <w:rPr>
          <w:rFonts w:ascii="Arial" w:hAnsi="Arial" w:cs="Arial"/>
        </w:rPr>
        <w:t xml:space="preserve">in the NT </w:t>
      </w:r>
      <w:r w:rsidR="00001229" w:rsidRPr="00140250">
        <w:rPr>
          <w:rFonts w:ascii="Arial" w:hAnsi="Arial" w:cs="Arial"/>
        </w:rPr>
        <w:t>than</w:t>
      </w:r>
      <w:r w:rsidRPr="00140250">
        <w:rPr>
          <w:rFonts w:ascii="Arial" w:hAnsi="Arial" w:cs="Arial"/>
        </w:rPr>
        <w:t xml:space="preserve"> </w:t>
      </w:r>
      <w:r w:rsidR="006C08B8">
        <w:rPr>
          <w:rFonts w:ascii="Arial" w:hAnsi="Arial" w:cs="Arial"/>
        </w:rPr>
        <w:t xml:space="preserve">in </w:t>
      </w:r>
      <w:r w:rsidR="00487EAB" w:rsidRPr="00140250">
        <w:rPr>
          <w:rFonts w:ascii="Arial" w:hAnsi="Arial" w:cs="Arial"/>
        </w:rPr>
        <w:t>other jurisdictions</w:t>
      </w:r>
      <w:r w:rsidRPr="00140250">
        <w:rPr>
          <w:rFonts w:ascii="Arial" w:hAnsi="Arial" w:cs="Arial"/>
        </w:rPr>
        <w:t xml:space="preserve">, </w:t>
      </w:r>
      <w:r w:rsidR="00516C63" w:rsidRPr="00140250">
        <w:rPr>
          <w:rFonts w:ascii="Arial" w:hAnsi="Arial" w:cs="Arial"/>
        </w:rPr>
        <w:t xml:space="preserve">due </w:t>
      </w:r>
      <w:r w:rsidRPr="00140250">
        <w:rPr>
          <w:rFonts w:ascii="Arial" w:hAnsi="Arial" w:cs="Arial"/>
        </w:rPr>
        <w:t xml:space="preserve">largely to </w:t>
      </w:r>
      <w:r w:rsidR="00516C63" w:rsidRPr="00140250">
        <w:rPr>
          <w:rFonts w:ascii="Arial" w:hAnsi="Arial" w:cs="Arial"/>
        </w:rPr>
        <w:t xml:space="preserve">the passage of amending </w:t>
      </w:r>
      <w:r w:rsidR="00505E29" w:rsidRPr="00140250">
        <w:rPr>
          <w:rFonts w:ascii="Arial" w:hAnsi="Arial" w:cs="Arial"/>
        </w:rPr>
        <w:t xml:space="preserve">laws </w:t>
      </w:r>
      <w:r w:rsidR="008C7C19" w:rsidRPr="00140250">
        <w:rPr>
          <w:rFonts w:ascii="Arial" w:hAnsi="Arial" w:cs="Arial"/>
        </w:rPr>
        <w:t>that</w:t>
      </w:r>
      <w:r w:rsidR="00505E29" w:rsidRPr="00140250">
        <w:rPr>
          <w:rFonts w:ascii="Arial" w:hAnsi="Arial" w:cs="Arial"/>
        </w:rPr>
        <w:t xml:space="preserve"> over the past 30 years have increasingly </w:t>
      </w:r>
      <w:r w:rsidR="003F1AB2">
        <w:rPr>
          <w:rFonts w:ascii="Arial" w:hAnsi="Arial" w:cs="Arial"/>
        </w:rPr>
        <w:t>funnelled</w:t>
      </w:r>
      <w:r w:rsidR="00505E29" w:rsidRPr="00140250">
        <w:rPr>
          <w:rFonts w:ascii="Arial" w:hAnsi="Arial" w:cs="Arial"/>
        </w:rPr>
        <w:t xml:space="preserve"> Aboriginal people into police custody </w:t>
      </w:r>
      <w:r w:rsidR="00FF2121" w:rsidRPr="00140250">
        <w:rPr>
          <w:rFonts w:ascii="Arial" w:hAnsi="Arial" w:cs="Arial"/>
        </w:rPr>
        <w:t xml:space="preserve">by making </w:t>
      </w:r>
      <w:r w:rsidR="00DF6021" w:rsidRPr="00140250">
        <w:rPr>
          <w:rFonts w:ascii="Arial" w:hAnsi="Arial" w:cs="Arial"/>
        </w:rPr>
        <w:t xml:space="preserve">it </w:t>
      </w:r>
      <w:r w:rsidR="00FF2121" w:rsidRPr="00140250">
        <w:rPr>
          <w:rFonts w:ascii="Arial" w:hAnsi="Arial" w:cs="Arial"/>
        </w:rPr>
        <w:t>easier for police to arrest them</w:t>
      </w:r>
      <w:r w:rsidR="00CD3849" w:rsidRPr="00140250">
        <w:rPr>
          <w:rFonts w:ascii="Arial" w:hAnsi="Arial" w:cs="Arial"/>
        </w:rPr>
        <w:t xml:space="preserve">. </w:t>
      </w:r>
      <w:r w:rsidR="00F71828" w:rsidRPr="00140250">
        <w:rPr>
          <w:rFonts w:ascii="Arial" w:hAnsi="Arial" w:cs="Arial"/>
        </w:rPr>
        <w:t xml:space="preserve">Their situation is often </w:t>
      </w:r>
      <w:r w:rsidR="00EB3359" w:rsidRPr="00140250">
        <w:rPr>
          <w:rFonts w:ascii="Arial" w:hAnsi="Arial" w:cs="Arial"/>
        </w:rPr>
        <w:t>summed up succinctly, if not eloquently</w:t>
      </w:r>
      <w:r w:rsidR="00791BF8" w:rsidRPr="00140250">
        <w:rPr>
          <w:rFonts w:ascii="Arial" w:hAnsi="Arial" w:cs="Arial"/>
        </w:rPr>
        <w:t>,</w:t>
      </w:r>
      <w:r w:rsidR="00EB3359" w:rsidRPr="00140250">
        <w:rPr>
          <w:rFonts w:ascii="Arial" w:hAnsi="Arial" w:cs="Arial"/>
        </w:rPr>
        <w:t xml:space="preserve"> </w:t>
      </w:r>
      <w:r w:rsidR="00FF2121" w:rsidRPr="00140250">
        <w:rPr>
          <w:rFonts w:ascii="Arial" w:hAnsi="Arial" w:cs="Arial"/>
        </w:rPr>
        <w:t>in</w:t>
      </w:r>
      <w:r w:rsidR="00F71828" w:rsidRPr="00140250">
        <w:rPr>
          <w:rFonts w:ascii="Arial" w:hAnsi="Arial" w:cs="Arial"/>
        </w:rPr>
        <w:t xml:space="preserve"> </w:t>
      </w:r>
      <w:r w:rsidR="006C08B8">
        <w:rPr>
          <w:rFonts w:ascii="Arial" w:hAnsi="Arial" w:cs="Arial"/>
        </w:rPr>
        <w:t xml:space="preserve">the </w:t>
      </w:r>
      <w:r w:rsidR="00F71828" w:rsidRPr="00140250">
        <w:rPr>
          <w:rFonts w:ascii="Arial" w:hAnsi="Arial" w:cs="Arial"/>
        </w:rPr>
        <w:t xml:space="preserve">daily refrain of our </w:t>
      </w:r>
      <w:r w:rsidR="003F1AB2" w:rsidRPr="00140250">
        <w:rPr>
          <w:rFonts w:ascii="Arial" w:hAnsi="Arial" w:cs="Arial"/>
        </w:rPr>
        <w:t>clients -</w:t>
      </w:r>
      <w:r w:rsidR="00EB3359" w:rsidRPr="00140250">
        <w:rPr>
          <w:rFonts w:ascii="Arial" w:hAnsi="Arial" w:cs="Arial"/>
        </w:rPr>
        <w:t xml:space="preserve"> “</w:t>
      </w:r>
      <w:r w:rsidR="00EB3359" w:rsidRPr="00140250">
        <w:rPr>
          <w:rFonts w:ascii="Arial" w:hAnsi="Arial" w:cs="Arial"/>
          <w:i/>
          <w:iCs/>
        </w:rPr>
        <w:t>I’ve been locked</w:t>
      </w:r>
      <w:r w:rsidR="004A0AF0" w:rsidRPr="00140250">
        <w:rPr>
          <w:rFonts w:ascii="Arial" w:hAnsi="Arial" w:cs="Arial"/>
          <w:i/>
          <w:iCs/>
        </w:rPr>
        <w:t xml:space="preserve"> up</w:t>
      </w:r>
      <w:r w:rsidR="00EB3359" w:rsidRPr="00140250">
        <w:rPr>
          <w:rFonts w:ascii="Arial" w:hAnsi="Arial" w:cs="Arial"/>
          <w:i/>
          <w:iCs/>
        </w:rPr>
        <w:t xml:space="preserve"> for fuck all</w:t>
      </w:r>
      <w:r w:rsidR="00EB3359" w:rsidRPr="00140250">
        <w:rPr>
          <w:rFonts w:ascii="Arial" w:hAnsi="Arial" w:cs="Arial"/>
        </w:rPr>
        <w:t xml:space="preserve">”.  </w:t>
      </w:r>
    </w:p>
    <w:bookmarkEnd w:id="0"/>
    <w:p w14:paraId="63C3D2E2" w14:textId="77777777" w:rsidR="00FB1241" w:rsidRPr="00140250" w:rsidRDefault="00FB1241" w:rsidP="003F6F41">
      <w:pPr>
        <w:rPr>
          <w:rFonts w:ascii="Arial" w:hAnsi="Arial" w:cs="Arial"/>
        </w:rPr>
      </w:pPr>
    </w:p>
    <w:p w14:paraId="6A7E0CF4" w14:textId="39F4B834" w:rsidR="00487EAB" w:rsidRPr="00140250" w:rsidRDefault="00FB1241" w:rsidP="00FB1241">
      <w:pPr>
        <w:pStyle w:val="ListParagraph"/>
        <w:numPr>
          <w:ilvl w:val="0"/>
          <w:numId w:val="3"/>
        </w:numPr>
        <w:rPr>
          <w:rFonts w:ascii="Arial" w:hAnsi="Arial" w:cs="Arial"/>
          <w:b/>
        </w:rPr>
      </w:pPr>
      <w:r w:rsidRPr="00140250">
        <w:rPr>
          <w:rFonts w:ascii="Arial" w:hAnsi="Arial" w:cs="Arial"/>
          <w:b/>
        </w:rPr>
        <w:t>Protective custody</w:t>
      </w:r>
      <w:r w:rsidR="00EB3359" w:rsidRPr="00140250">
        <w:rPr>
          <w:rFonts w:ascii="Arial" w:hAnsi="Arial" w:cs="Arial"/>
          <w:b/>
        </w:rPr>
        <w:t xml:space="preserve"> </w:t>
      </w:r>
    </w:p>
    <w:p w14:paraId="00C3D937" w14:textId="77777777" w:rsidR="00FB1241" w:rsidRPr="00140250" w:rsidRDefault="00FB1241" w:rsidP="00FB1241">
      <w:pPr>
        <w:rPr>
          <w:rFonts w:ascii="Arial" w:hAnsi="Arial" w:cs="Arial"/>
        </w:rPr>
      </w:pPr>
    </w:p>
    <w:p w14:paraId="1DFA7A7C" w14:textId="47599644" w:rsidR="00DF6021" w:rsidRPr="00140250" w:rsidRDefault="00FB1241" w:rsidP="00FB1241">
      <w:pPr>
        <w:shd w:val="clear" w:color="auto" w:fill="FFFFFF"/>
        <w:spacing w:after="180"/>
        <w:outlineLvl w:val="2"/>
        <w:rPr>
          <w:rFonts w:ascii="Arial" w:hAnsi="Arial" w:cs="Arial"/>
          <w:shd w:val="clear" w:color="auto" w:fill="FFFFFF"/>
        </w:rPr>
      </w:pPr>
      <w:bookmarkStart w:id="1" w:name="_Hlk107325344"/>
      <w:r w:rsidRPr="00140250">
        <w:rPr>
          <w:rFonts w:ascii="Arial" w:eastAsia="Times New Roman" w:hAnsi="Arial" w:cs="Arial"/>
          <w:bCs/>
          <w:lang w:eastAsia="en-AU"/>
        </w:rPr>
        <w:t>While the power to take a person into police custody</w:t>
      </w:r>
      <w:r w:rsidR="00FB0EE7" w:rsidRPr="00140250">
        <w:rPr>
          <w:rFonts w:ascii="Arial" w:eastAsia="Times New Roman" w:hAnsi="Arial" w:cs="Arial"/>
          <w:bCs/>
          <w:lang w:eastAsia="en-AU"/>
        </w:rPr>
        <w:t>,</w:t>
      </w:r>
      <w:r w:rsidRPr="00140250">
        <w:rPr>
          <w:rFonts w:ascii="Arial" w:eastAsia="Times New Roman" w:hAnsi="Arial" w:cs="Arial"/>
          <w:bCs/>
          <w:lang w:eastAsia="en-AU"/>
        </w:rPr>
        <w:t xml:space="preserve"> for their own safety</w:t>
      </w:r>
      <w:r w:rsidR="00FB0EE7" w:rsidRPr="00140250">
        <w:rPr>
          <w:rFonts w:ascii="Arial" w:eastAsia="Times New Roman" w:hAnsi="Arial" w:cs="Arial"/>
          <w:bCs/>
          <w:lang w:eastAsia="en-AU"/>
        </w:rPr>
        <w:t>,</w:t>
      </w:r>
      <w:r w:rsidRPr="00140250">
        <w:rPr>
          <w:rFonts w:ascii="Arial" w:eastAsia="Times New Roman" w:hAnsi="Arial" w:cs="Arial"/>
          <w:bCs/>
          <w:lang w:eastAsia="en-AU"/>
        </w:rPr>
        <w:t xml:space="preserve"> </w:t>
      </w:r>
      <w:r w:rsidR="00791BF8" w:rsidRPr="00140250">
        <w:rPr>
          <w:rFonts w:ascii="Arial" w:eastAsia="Times New Roman" w:hAnsi="Arial" w:cs="Arial"/>
          <w:bCs/>
          <w:lang w:eastAsia="en-AU"/>
        </w:rPr>
        <w:t>due to</w:t>
      </w:r>
      <w:r w:rsidRPr="00140250">
        <w:rPr>
          <w:rFonts w:ascii="Arial" w:eastAsia="Times New Roman" w:hAnsi="Arial" w:cs="Arial"/>
          <w:bCs/>
          <w:lang w:eastAsia="en-AU"/>
        </w:rPr>
        <w:t xml:space="preserve"> their intoxication is not unique to the NT, what is unique</w:t>
      </w:r>
      <w:r w:rsidR="00C326C4" w:rsidRPr="00140250">
        <w:rPr>
          <w:rFonts w:ascii="Arial" w:eastAsia="Times New Roman" w:hAnsi="Arial" w:cs="Arial"/>
          <w:bCs/>
          <w:lang w:eastAsia="en-AU"/>
        </w:rPr>
        <w:t xml:space="preserve"> to the NT, as well as South Australia and the ACT,</w:t>
      </w:r>
      <w:r w:rsidRPr="00140250">
        <w:rPr>
          <w:rFonts w:ascii="Arial" w:eastAsia="Times New Roman" w:hAnsi="Arial" w:cs="Arial"/>
          <w:bCs/>
          <w:lang w:eastAsia="en-AU"/>
        </w:rPr>
        <w:t xml:space="preserve"> is the absence of </w:t>
      </w:r>
      <w:r w:rsidR="00DF6021" w:rsidRPr="00140250">
        <w:rPr>
          <w:rFonts w:ascii="Arial" w:eastAsia="Times New Roman" w:hAnsi="Arial" w:cs="Arial"/>
          <w:bCs/>
          <w:lang w:eastAsia="en-AU"/>
        </w:rPr>
        <w:t>any</w:t>
      </w:r>
      <w:r w:rsidRPr="00140250">
        <w:rPr>
          <w:rFonts w:ascii="Arial" w:eastAsia="Times New Roman" w:hAnsi="Arial" w:cs="Arial"/>
          <w:bCs/>
          <w:lang w:eastAsia="en-AU"/>
        </w:rPr>
        <w:t xml:space="preserve"> requirement </w:t>
      </w:r>
      <w:r w:rsidR="00DF6021" w:rsidRPr="00140250">
        <w:rPr>
          <w:rFonts w:ascii="Arial" w:eastAsia="Times New Roman" w:hAnsi="Arial" w:cs="Arial"/>
          <w:bCs/>
          <w:lang w:eastAsia="en-AU"/>
        </w:rPr>
        <w:t>for</w:t>
      </w:r>
      <w:r w:rsidRPr="00140250">
        <w:rPr>
          <w:rFonts w:ascii="Arial" w:eastAsia="Times New Roman" w:hAnsi="Arial" w:cs="Arial"/>
          <w:bCs/>
          <w:lang w:eastAsia="en-AU"/>
        </w:rPr>
        <w:t xml:space="preserve"> the apprehending officer to actively pursue alternatives to custody</w:t>
      </w:r>
      <w:r w:rsidR="007E3142" w:rsidRPr="00140250">
        <w:rPr>
          <w:rFonts w:ascii="Arial" w:eastAsia="Times New Roman" w:hAnsi="Arial" w:cs="Arial"/>
          <w:bCs/>
          <w:lang w:eastAsia="en-AU"/>
        </w:rPr>
        <w:t xml:space="preserve"> </w:t>
      </w:r>
      <w:r w:rsidR="00F52F90" w:rsidRPr="00140250">
        <w:rPr>
          <w:rFonts w:ascii="Arial" w:eastAsia="Times New Roman" w:hAnsi="Arial" w:cs="Arial"/>
          <w:bCs/>
          <w:lang w:eastAsia="en-AU"/>
        </w:rPr>
        <w:t>after</w:t>
      </w:r>
      <w:r w:rsidR="00DF6021" w:rsidRPr="00140250">
        <w:rPr>
          <w:rFonts w:ascii="Arial" w:eastAsia="Times New Roman" w:hAnsi="Arial" w:cs="Arial"/>
          <w:bCs/>
          <w:lang w:eastAsia="en-AU"/>
        </w:rPr>
        <w:t xml:space="preserve"> loading them into the paddy van</w:t>
      </w:r>
      <w:bookmarkEnd w:id="1"/>
      <w:r w:rsidR="00DF6021" w:rsidRPr="00140250">
        <w:rPr>
          <w:rFonts w:ascii="Arial" w:eastAsia="Times New Roman" w:hAnsi="Arial" w:cs="Arial"/>
          <w:bCs/>
          <w:lang w:eastAsia="en-AU"/>
        </w:rPr>
        <w:t xml:space="preserve">. </w:t>
      </w:r>
      <w:r w:rsidRPr="00140250">
        <w:rPr>
          <w:rFonts w:ascii="Arial" w:eastAsia="Times New Roman" w:hAnsi="Arial" w:cs="Arial"/>
          <w:bCs/>
          <w:lang w:eastAsia="en-AU"/>
        </w:rPr>
        <w:t>In other jurisdictions (excluding Victoria which doesn’t have a protective custody power), there is a legislated requirement to consider alternatives to police custody.</w:t>
      </w:r>
      <w:r w:rsidR="00C60576" w:rsidRPr="00140250">
        <w:rPr>
          <w:rFonts w:ascii="Arial" w:eastAsia="Times New Roman" w:hAnsi="Arial" w:cs="Arial"/>
          <w:bCs/>
          <w:lang w:eastAsia="en-AU"/>
        </w:rPr>
        <w:t xml:space="preserve"> In Queensland, police must take such a person </w:t>
      </w:r>
      <w:r w:rsidR="00DF6021" w:rsidRPr="00140250">
        <w:rPr>
          <w:rFonts w:ascii="Arial" w:eastAsia="Times New Roman" w:hAnsi="Arial" w:cs="Arial"/>
          <w:bCs/>
          <w:lang w:eastAsia="en-AU"/>
        </w:rPr>
        <w:t xml:space="preserve">directly </w:t>
      </w:r>
      <w:r w:rsidR="00C60576" w:rsidRPr="00140250">
        <w:rPr>
          <w:rFonts w:ascii="Arial" w:eastAsia="Times New Roman" w:hAnsi="Arial" w:cs="Arial"/>
          <w:bCs/>
          <w:lang w:eastAsia="en-AU"/>
        </w:rPr>
        <w:t xml:space="preserve">to a </w:t>
      </w:r>
      <w:r w:rsidR="003F1AB2">
        <w:rPr>
          <w:rFonts w:ascii="Arial" w:eastAsia="Times New Roman" w:hAnsi="Arial" w:cs="Arial"/>
          <w:bCs/>
          <w:lang w:eastAsia="en-AU"/>
        </w:rPr>
        <w:t>sober-up</w:t>
      </w:r>
      <w:r w:rsidR="00C60576" w:rsidRPr="00140250">
        <w:rPr>
          <w:rFonts w:ascii="Arial" w:eastAsia="Times New Roman" w:hAnsi="Arial" w:cs="Arial"/>
          <w:bCs/>
          <w:lang w:eastAsia="en-AU"/>
        </w:rPr>
        <w:t xml:space="preserve"> shelter.</w:t>
      </w:r>
      <w:r w:rsidRPr="00140250">
        <w:rPr>
          <w:rFonts w:ascii="Arial" w:eastAsia="Times New Roman" w:hAnsi="Arial" w:cs="Arial"/>
          <w:bCs/>
          <w:lang w:eastAsia="en-AU"/>
        </w:rPr>
        <w:t xml:space="preserve"> In NSW, people are to be taken into protective custody “temporarily”, unless there is no one suitable to care for them or they are behaving, or likely to behave, in such a violent manner that it is not practical to have another person care for them</w:t>
      </w:r>
      <w:r w:rsidRPr="00140250">
        <w:rPr>
          <w:rStyle w:val="FootnoteReference"/>
          <w:rFonts w:ascii="Arial" w:eastAsia="Times New Roman" w:hAnsi="Arial" w:cs="Arial"/>
          <w:bCs/>
          <w:lang w:eastAsia="en-AU"/>
        </w:rPr>
        <w:footnoteReference w:id="5"/>
      </w:r>
      <w:r w:rsidRPr="00140250">
        <w:rPr>
          <w:rFonts w:ascii="Arial" w:eastAsia="Times New Roman" w:hAnsi="Arial" w:cs="Arial"/>
          <w:bCs/>
          <w:lang w:eastAsia="en-AU"/>
        </w:rPr>
        <w:t xml:space="preserve">. In WA, officers must, as soon as reasonably practicable after apprehension, release </w:t>
      </w:r>
      <w:r w:rsidRPr="00140250">
        <w:rPr>
          <w:rFonts w:ascii="Arial" w:eastAsia="Times New Roman" w:hAnsi="Arial" w:cs="Arial"/>
          <w:bCs/>
          <w:lang w:eastAsia="en-AU"/>
        </w:rPr>
        <w:lastRenderedPageBreak/>
        <w:t>the person into the care of another, unless it is impracticable to do so</w:t>
      </w:r>
      <w:r w:rsidRPr="00140250">
        <w:rPr>
          <w:rStyle w:val="FootnoteReference"/>
          <w:rFonts w:ascii="Arial" w:eastAsia="Times New Roman" w:hAnsi="Arial" w:cs="Arial"/>
          <w:bCs/>
          <w:lang w:eastAsia="en-AU"/>
        </w:rPr>
        <w:footnoteReference w:id="6"/>
      </w:r>
      <w:r w:rsidRPr="00140250">
        <w:rPr>
          <w:rFonts w:ascii="Arial" w:eastAsia="Times New Roman" w:hAnsi="Arial" w:cs="Arial"/>
          <w:bCs/>
          <w:lang w:eastAsia="en-AU"/>
        </w:rPr>
        <w:t>. I</w:t>
      </w:r>
      <w:r w:rsidRPr="00140250">
        <w:rPr>
          <w:rFonts w:ascii="Arial" w:hAnsi="Arial" w:cs="Arial"/>
          <w:shd w:val="clear" w:color="auto" w:fill="FFFFFF"/>
        </w:rPr>
        <w:t>n Tasmania</w:t>
      </w:r>
      <w:r w:rsidR="006C08B8">
        <w:rPr>
          <w:rFonts w:ascii="Arial" w:hAnsi="Arial" w:cs="Arial"/>
          <w:shd w:val="clear" w:color="auto" w:fill="FFFFFF"/>
        </w:rPr>
        <w:t>,</w:t>
      </w:r>
      <w:r w:rsidR="00C326C4" w:rsidRPr="00140250">
        <w:rPr>
          <w:rFonts w:ascii="Arial" w:hAnsi="Arial" w:cs="Arial"/>
          <w:shd w:val="clear" w:color="auto" w:fill="FFFFFF"/>
        </w:rPr>
        <w:t xml:space="preserve"> police are only permitted to continue to hold the person </w:t>
      </w:r>
      <w:r w:rsidR="000709F6" w:rsidRPr="00140250">
        <w:rPr>
          <w:rFonts w:ascii="Arial" w:hAnsi="Arial" w:cs="Arial"/>
          <w:shd w:val="clear" w:color="auto" w:fill="FFFFFF"/>
        </w:rPr>
        <w:t xml:space="preserve">in custody </w:t>
      </w:r>
      <w:r w:rsidR="00C326C4" w:rsidRPr="00140250">
        <w:rPr>
          <w:rFonts w:ascii="Arial" w:hAnsi="Arial" w:cs="Arial"/>
          <w:shd w:val="clear" w:color="auto" w:fill="FFFFFF"/>
        </w:rPr>
        <w:t xml:space="preserve">if they have made reasonable </w:t>
      </w:r>
      <w:r w:rsidR="006C08B8">
        <w:rPr>
          <w:rFonts w:ascii="Arial" w:hAnsi="Arial" w:cs="Arial"/>
          <w:shd w:val="clear" w:color="auto" w:fill="FFFFFF"/>
        </w:rPr>
        <w:t>inquiries</w:t>
      </w:r>
      <w:r w:rsidR="00C326C4" w:rsidRPr="00140250">
        <w:rPr>
          <w:rFonts w:ascii="Arial" w:hAnsi="Arial" w:cs="Arial"/>
          <w:shd w:val="clear" w:color="auto" w:fill="FFFFFF"/>
        </w:rPr>
        <w:t xml:space="preserve"> to find a place of safety or a responsible person to care for them</w:t>
      </w:r>
      <w:r w:rsidRPr="00140250">
        <w:rPr>
          <w:rStyle w:val="FootnoteReference"/>
          <w:rFonts w:ascii="Arial" w:hAnsi="Arial" w:cs="Arial"/>
          <w:shd w:val="clear" w:color="auto" w:fill="FFFFFF"/>
        </w:rPr>
        <w:footnoteReference w:id="7"/>
      </w:r>
      <w:r w:rsidR="00C326C4" w:rsidRPr="00140250">
        <w:rPr>
          <w:rFonts w:ascii="Arial" w:hAnsi="Arial" w:cs="Arial"/>
          <w:shd w:val="clear" w:color="auto" w:fill="FFFFFF"/>
        </w:rPr>
        <w:t xml:space="preserve">. </w:t>
      </w:r>
    </w:p>
    <w:p w14:paraId="7470CE05" w14:textId="71B1A2B9" w:rsidR="00FB1241" w:rsidRPr="00140250" w:rsidRDefault="00FB1241" w:rsidP="00FB1241">
      <w:pPr>
        <w:shd w:val="clear" w:color="auto" w:fill="FFFFFF"/>
        <w:spacing w:after="180"/>
        <w:outlineLvl w:val="2"/>
        <w:rPr>
          <w:rFonts w:ascii="Arial" w:hAnsi="Arial" w:cs="Arial"/>
          <w:shd w:val="clear" w:color="auto" w:fill="FFFFFF"/>
        </w:rPr>
      </w:pPr>
      <w:r w:rsidRPr="00140250">
        <w:rPr>
          <w:rFonts w:ascii="Arial" w:hAnsi="Arial" w:cs="Arial"/>
          <w:shd w:val="clear" w:color="auto" w:fill="FFFFFF"/>
        </w:rPr>
        <w:t>In N</w:t>
      </w:r>
      <w:r w:rsidR="00FB0EE7" w:rsidRPr="00140250">
        <w:rPr>
          <w:rFonts w:ascii="Arial" w:hAnsi="Arial" w:cs="Arial"/>
          <w:shd w:val="clear" w:color="auto" w:fill="FFFFFF"/>
        </w:rPr>
        <w:t>ew South Wales</w:t>
      </w:r>
      <w:r w:rsidRPr="00140250">
        <w:rPr>
          <w:rFonts w:ascii="Arial" w:hAnsi="Arial" w:cs="Arial"/>
          <w:shd w:val="clear" w:color="auto" w:fill="FFFFFF"/>
        </w:rPr>
        <w:t xml:space="preserve"> and W</w:t>
      </w:r>
      <w:r w:rsidR="00FB0EE7" w:rsidRPr="00140250">
        <w:rPr>
          <w:rFonts w:ascii="Arial" w:hAnsi="Arial" w:cs="Arial"/>
          <w:shd w:val="clear" w:color="auto" w:fill="FFFFFF"/>
        </w:rPr>
        <w:t>estern Australia</w:t>
      </w:r>
      <w:r w:rsidR="006C08B8">
        <w:rPr>
          <w:rFonts w:ascii="Arial" w:hAnsi="Arial" w:cs="Arial"/>
          <w:shd w:val="clear" w:color="auto" w:fill="FFFFFF"/>
        </w:rPr>
        <w:t>,</w:t>
      </w:r>
      <w:r w:rsidRPr="00140250">
        <w:rPr>
          <w:rFonts w:ascii="Arial" w:hAnsi="Arial" w:cs="Arial"/>
          <w:shd w:val="clear" w:color="auto" w:fill="FFFFFF"/>
        </w:rPr>
        <w:t xml:space="preserve"> there is a requirement for police to notify the Aboriginal Legal Service when they detain an Aboriginal person in protective custody, and in</w:t>
      </w:r>
      <w:r w:rsidR="006135FA" w:rsidRPr="00140250">
        <w:rPr>
          <w:rFonts w:ascii="Arial" w:hAnsi="Arial" w:cs="Arial"/>
          <w:shd w:val="clear" w:color="auto" w:fill="FFFFFF"/>
        </w:rPr>
        <w:t xml:space="preserve"> S</w:t>
      </w:r>
      <w:r w:rsidR="00FB0EE7" w:rsidRPr="00140250">
        <w:rPr>
          <w:rFonts w:ascii="Arial" w:hAnsi="Arial" w:cs="Arial"/>
          <w:shd w:val="clear" w:color="auto" w:fill="FFFFFF"/>
        </w:rPr>
        <w:t>outh Australia</w:t>
      </w:r>
      <w:r w:rsidR="006135FA" w:rsidRPr="00140250">
        <w:rPr>
          <w:rStyle w:val="FootnoteReference"/>
          <w:rFonts w:ascii="Arial" w:hAnsi="Arial" w:cs="Arial"/>
          <w:shd w:val="clear" w:color="auto" w:fill="FFFFFF"/>
        </w:rPr>
        <w:footnoteReference w:id="8"/>
      </w:r>
      <w:r w:rsidR="006135FA" w:rsidRPr="00140250">
        <w:rPr>
          <w:rFonts w:ascii="Arial" w:hAnsi="Arial" w:cs="Arial"/>
          <w:shd w:val="clear" w:color="auto" w:fill="FFFFFF"/>
        </w:rPr>
        <w:t xml:space="preserve"> and</w:t>
      </w:r>
      <w:r w:rsidRPr="00140250">
        <w:rPr>
          <w:rFonts w:ascii="Arial" w:hAnsi="Arial" w:cs="Arial"/>
          <w:shd w:val="clear" w:color="auto" w:fill="FFFFFF"/>
        </w:rPr>
        <w:t xml:space="preserve"> the ACT</w:t>
      </w:r>
      <w:r w:rsidR="006C08B8">
        <w:rPr>
          <w:rFonts w:ascii="Arial" w:hAnsi="Arial" w:cs="Arial"/>
          <w:shd w:val="clear" w:color="auto" w:fill="FFFFFF"/>
        </w:rPr>
        <w:t>,</w:t>
      </w:r>
      <w:r w:rsidRPr="00140250">
        <w:rPr>
          <w:rFonts w:ascii="Arial" w:hAnsi="Arial" w:cs="Arial"/>
          <w:shd w:val="clear" w:color="auto" w:fill="FFFFFF"/>
        </w:rPr>
        <w:t xml:space="preserve"> the person in protective custody has the right to speak to a lawyer, </w:t>
      </w:r>
      <w:proofErr w:type="gramStart"/>
      <w:r w:rsidRPr="00140250">
        <w:rPr>
          <w:rFonts w:ascii="Arial" w:hAnsi="Arial" w:cs="Arial"/>
          <w:shd w:val="clear" w:color="auto" w:fill="FFFFFF"/>
        </w:rPr>
        <w:t>family</w:t>
      </w:r>
      <w:proofErr w:type="gramEnd"/>
      <w:r w:rsidRPr="00140250">
        <w:rPr>
          <w:rFonts w:ascii="Arial" w:hAnsi="Arial" w:cs="Arial"/>
          <w:shd w:val="clear" w:color="auto" w:fill="FFFFFF"/>
        </w:rPr>
        <w:t xml:space="preserve"> or friend. No such right exists for Aboriginal people in the NT – they simply disappear </w:t>
      </w:r>
      <w:r w:rsidR="00DF6021" w:rsidRPr="00140250">
        <w:rPr>
          <w:rFonts w:ascii="Arial" w:hAnsi="Arial" w:cs="Arial"/>
          <w:shd w:val="clear" w:color="auto" w:fill="FFFFFF"/>
        </w:rPr>
        <w:t xml:space="preserve">into a police cell </w:t>
      </w:r>
      <w:r w:rsidRPr="00140250">
        <w:rPr>
          <w:rFonts w:ascii="Arial" w:hAnsi="Arial" w:cs="Arial"/>
          <w:shd w:val="clear" w:color="auto" w:fill="FFFFFF"/>
        </w:rPr>
        <w:t xml:space="preserve">until an officer decides they are sober and releases them. </w:t>
      </w:r>
    </w:p>
    <w:p w14:paraId="0DC73456" w14:textId="3C5A74F6" w:rsidR="002C2BCD" w:rsidRPr="00140250" w:rsidRDefault="00FB1241" w:rsidP="00FB1241">
      <w:pPr>
        <w:shd w:val="clear" w:color="auto" w:fill="FFFFFF"/>
        <w:spacing w:after="180"/>
        <w:outlineLvl w:val="2"/>
        <w:rPr>
          <w:rFonts w:ascii="Arial" w:hAnsi="Arial" w:cs="Arial"/>
        </w:rPr>
      </w:pPr>
      <w:bookmarkStart w:id="2" w:name="_Hlk107325534"/>
      <w:r w:rsidRPr="00140250">
        <w:rPr>
          <w:rFonts w:ascii="Arial" w:hAnsi="Arial" w:cs="Arial"/>
          <w:shd w:val="clear" w:color="auto" w:fill="FFFFFF"/>
        </w:rPr>
        <w:t xml:space="preserve">In other jurisdictions the exercise of the power is limited to situations where the person is so </w:t>
      </w:r>
      <w:proofErr w:type="gramStart"/>
      <w:r w:rsidRPr="00140250">
        <w:rPr>
          <w:rFonts w:ascii="Arial" w:hAnsi="Arial" w:cs="Arial"/>
          <w:shd w:val="clear" w:color="auto" w:fill="FFFFFF"/>
        </w:rPr>
        <w:t>intoxicated</w:t>
      </w:r>
      <w:proofErr w:type="gramEnd"/>
      <w:r w:rsidRPr="00140250">
        <w:rPr>
          <w:rFonts w:ascii="Arial" w:hAnsi="Arial" w:cs="Arial"/>
          <w:shd w:val="clear" w:color="auto" w:fill="FFFFFF"/>
        </w:rPr>
        <w:t xml:space="preserve"> they are a risk to their own, or </w:t>
      </w:r>
      <w:r w:rsidR="006C08B8">
        <w:rPr>
          <w:rFonts w:ascii="Arial" w:hAnsi="Arial" w:cs="Arial"/>
          <w:shd w:val="clear" w:color="auto" w:fill="FFFFFF"/>
        </w:rPr>
        <w:t>others’</w:t>
      </w:r>
      <w:r w:rsidRPr="00140250">
        <w:rPr>
          <w:rFonts w:ascii="Arial" w:hAnsi="Arial" w:cs="Arial"/>
          <w:shd w:val="clear" w:color="auto" w:fill="FFFFFF"/>
        </w:rPr>
        <w:t xml:space="preserve"> safety, or are likely to damage property. In the NT, police can also </w:t>
      </w:r>
      <w:r w:rsidR="00DF6021" w:rsidRPr="00140250">
        <w:rPr>
          <w:rFonts w:ascii="Arial" w:hAnsi="Arial" w:cs="Arial"/>
          <w:shd w:val="clear" w:color="auto" w:fill="FFFFFF"/>
        </w:rPr>
        <w:t xml:space="preserve">take a person into protective custody </w:t>
      </w:r>
      <w:r w:rsidRPr="00140250">
        <w:rPr>
          <w:rFonts w:ascii="Arial" w:hAnsi="Arial" w:cs="Arial"/>
          <w:shd w:val="clear" w:color="auto" w:fill="FFFFFF"/>
        </w:rPr>
        <w:t xml:space="preserve">because the person </w:t>
      </w:r>
      <w:r w:rsidRPr="00140250">
        <w:rPr>
          <w:rFonts w:ascii="Arial" w:hAnsi="Arial" w:cs="Arial"/>
          <w:u w:val="single"/>
          <w:shd w:val="clear" w:color="auto" w:fill="FFFFFF"/>
        </w:rPr>
        <w:t xml:space="preserve">might </w:t>
      </w:r>
      <w:r w:rsidRPr="00140250">
        <w:rPr>
          <w:rFonts w:ascii="Arial" w:hAnsi="Arial" w:cs="Arial"/>
        </w:rPr>
        <w:t>intimidate, alarm</w:t>
      </w:r>
      <w:r w:rsidR="006C08B8">
        <w:rPr>
          <w:rFonts w:ascii="Arial" w:hAnsi="Arial" w:cs="Arial"/>
        </w:rPr>
        <w:t>,</w:t>
      </w:r>
      <w:r w:rsidRPr="00140250">
        <w:rPr>
          <w:rFonts w:ascii="Arial" w:hAnsi="Arial" w:cs="Arial"/>
        </w:rPr>
        <w:t xml:space="preserve"> or cause substantial annoyance, or are likely to commit </w:t>
      </w:r>
      <w:r w:rsidRPr="00140250">
        <w:rPr>
          <w:rFonts w:ascii="Arial" w:hAnsi="Arial" w:cs="Arial"/>
          <w:u w:val="single"/>
        </w:rPr>
        <w:t>any</w:t>
      </w:r>
      <w:r w:rsidRPr="00140250">
        <w:rPr>
          <w:rFonts w:ascii="Arial" w:hAnsi="Arial" w:cs="Arial"/>
        </w:rPr>
        <w:t xml:space="preserve"> offence. Ironically, this </w:t>
      </w:r>
      <w:r w:rsidR="00012013">
        <w:rPr>
          <w:rFonts w:ascii="Arial" w:hAnsi="Arial" w:cs="Arial"/>
        </w:rPr>
        <w:t xml:space="preserve">did </w:t>
      </w:r>
      <w:r w:rsidRPr="00140250">
        <w:rPr>
          <w:rFonts w:ascii="Arial" w:hAnsi="Arial" w:cs="Arial"/>
        </w:rPr>
        <w:t xml:space="preserve">include the offence of drinking in a </w:t>
      </w:r>
      <w:r w:rsidR="00EE2CDF">
        <w:rPr>
          <w:rFonts w:ascii="Arial" w:hAnsi="Arial" w:cs="Arial"/>
        </w:rPr>
        <w:t>public place</w:t>
      </w:r>
      <w:r w:rsidR="00EE2CDF">
        <w:rPr>
          <w:rStyle w:val="FootnoteReference"/>
          <w:rFonts w:ascii="Arial" w:hAnsi="Arial" w:cs="Arial"/>
        </w:rPr>
        <w:footnoteReference w:id="9"/>
      </w:r>
      <w:r w:rsidRPr="00140250">
        <w:rPr>
          <w:rFonts w:ascii="Arial" w:hAnsi="Arial" w:cs="Arial"/>
        </w:rPr>
        <w:t xml:space="preserve"> for which there </w:t>
      </w:r>
      <w:r w:rsidR="00012013">
        <w:rPr>
          <w:rFonts w:ascii="Arial" w:hAnsi="Arial" w:cs="Arial"/>
        </w:rPr>
        <w:t>wa</w:t>
      </w:r>
      <w:r w:rsidRPr="00140250">
        <w:rPr>
          <w:rFonts w:ascii="Arial" w:hAnsi="Arial" w:cs="Arial"/>
        </w:rPr>
        <w:t xml:space="preserve">s no power of arrest </w:t>
      </w:r>
      <w:r w:rsidR="00012013">
        <w:rPr>
          <w:rFonts w:ascii="Arial" w:hAnsi="Arial" w:cs="Arial"/>
        </w:rPr>
        <w:t>after</w:t>
      </w:r>
      <w:r w:rsidR="00575F63" w:rsidRPr="00140250">
        <w:rPr>
          <w:rFonts w:ascii="Arial" w:hAnsi="Arial" w:cs="Arial"/>
        </w:rPr>
        <w:t xml:space="preserve"> the</w:t>
      </w:r>
      <w:r w:rsidR="00AE3DEF">
        <w:rPr>
          <w:rFonts w:ascii="Arial" w:hAnsi="Arial" w:cs="Arial"/>
        </w:rPr>
        <w:t xml:space="preserve"> NT</w:t>
      </w:r>
      <w:r w:rsidR="00575F63" w:rsidRPr="00140250">
        <w:rPr>
          <w:rFonts w:ascii="Arial" w:hAnsi="Arial" w:cs="Arial"/>
        </w:rPr>
        <w:t xml:space="preserve"> implemented the RCIADIC recommendation to abolish the offence of public </w:t>
      </w:r>
      <w:r w:rsidR="007E132E" w:rsidRPr="00140250">
        <w:rPr>
          <w:rFonts w:ascii="Arial" w:hAnsi="Arial" w:cs="Arial"/>
        </w:rPr>
        <w:t>drunkenness</w:t>
      </w:r>
      <w:r w:rsidRPr="00140250">
        <w:rPr>
          <w:rFonts w:ascii="Arial" w:hAnsi="Arial" w:cs="Arial"/>
        </w:rPr>
        <w:t xml:space="preserve">. </w:t>
      </w:r>
      <w:r w:rsidR="00012013">
        <w:rPr>
          <w:rFonts w:ascii="Arial" w:hAnsi="Arial" w:cs="Arial"/>
        </w:rPr>
        <w:t>However, in 2019 a new Liquor Act was introduced which changed the classification of drinking in a public place from an offence to a contravention of the section</w:t>
      </w:r>
      <w:r w:rsidR="00AA52D9">
        <w:rPr>
          <w:rFonts w:ascii="Arial" w:hAnsi="Arial" w:cs="Arial"/>
        </w:rPr>
        <w:t>,</w:t>
      </w:r>
      <w:r w:rsidR="00012013">
        <w:rPr>
          <w:rStyle w:val="FootnoteReference"/>
          <w:rFonts w:ascii="Arial" w:hAnsi="Arial" w:cs="Arial"/>
        </w:rPr>
        <w:footnoteReference w:id="10"/>
      </w:r>
      <w:r w:rsidR="00AA52D9">
        <w:rPr>
          <w:rFonts w:ascii="Arial" w:hAnsi="Arial" w:cs="Arial"/>
        </w:rPr>
        <w:t xml:space="preserve"> which has ended this absurdity at least. </w:t>
      </w:r>
    </w:p>
    <w:p w14:paraId="269C9B1E" w14:textId="0C732B1B" w:rsidR="00FB1241" w:rsidRPr="00140250" w:rsidRDefault="00FB1241" w:rsidP="00FB1241">
      <w:pPr>
        <w:shd w:val="clear" w:color="auto" w:fill="FFFFFF"/>
        <w:spacing w:after="180"/>
        <w:outlineLvl w:val="2"/>
        <w:rPr>
          <w:rFonts w:ascii="Arial" w:hAnsi="Arial" w:cs="Arial"/>
        </w:rPr>
      </w:pPr>
      <w:bookmarkStart w:id="3" w:name="_Hlk107325563"/>
      <w:bookmarkEnd w:id="2"/>
      <w:r w:rsidRPr="00140250">
        <w:rPr>
          <w:rFonts w:ascii="Arial" w:hAnsi="Arial" w:cs="Arial"/>
        </w:rPr>
        <w:t>With such wide powers, and no requirement to consider alternatives after the initial apprehension, it is little wonder NT police cells are full of intoxicated Aboriginal</w:t>
      </w:r>
      <w:r w:rsidR="00AE3DEF">
        <w:rPr>
          <w:rFonts w:ascii="Arial" w:hAnsi="Arial" w:cs="Arial"/>
        </w:rPr>
        <w:t xml:space="preserve"> people</w:t>
      </w:r>
      <w:r w:rsidRPr="00140250">
        <w:rPr>
          <w:rFonts w:ascii="Arial" w:hAnsi="Arial" w:cs="Arial"/>
        </w:rPr>
        <w:t>.</w:t>
      </w:r>
      <w:r w:rsidR="001820BB" w:rsidRPr="00140250">
        <w:rPr>
          <w:rFonts w:ascii="Arial" w:eastAsia="Times New Roman" w:hAnsi="Arial" w:cs="Arial"/>
          <w:bCs/>
          <w:lang w:eastAsia="en-AU"/>
        </w:rPr>
        <w:t xml:space="preserve"> </w:t>
      </w:r>
      <w:r w:rsidR="00081A74">
        <w:rPr>
          <w:rFonts w:ascii="Arial" w:eastAsia="Times New Roman" w:hAnsi="Arial" w:cs="Arial"/>
          <w:bCs/>
          <w:lang w:eastAsia="en-AU"/>
        </w:rPr>
        <w:t xml:space="preserve">In </w:t>
      </w:r>
      <w:r w:rsidR="00824628" w:rsidRPr="00140250">
        <w:rPr>
          <w:rFonts w:ascii="Arial" w:eastAsia="Times New Roman" w:hAnsi="Arial" w:cs="Arial"/>
          <w:bCs/>
          <w:lang w:eastAsia="en-AU"/>
        </w:rPr>
        <w:t xml:space="preserve">2017-2018 </w:t>
      </w:r>
      <w:bookmarkStart w:id="4" w:name="_Hlk107339923"/>
      <w:r w:rsidR="00081A74">
        <w:rPr>
          <w:rFonts w:ascii="Arial" w:eastAsia="Times New Roman" w:hAnsi="Arial" w:cs="Arial"/>
          <w:bCs/>
          <w:lang w:eastAsia="en-AU"/>
        </w:rPr>
        <w:t xml:space="preserve">there were </w:t>
      </w:r>
      <w:r w:rsidR="00824628" w:rsidRPr="00140250">
        <w:rPr>
          <w:rFonts w:ascii="Arial" w:eastAsia="Times New Roman" w:hAnsi="Arial" w:cs="Arial"/>
          <w:bCs/>
          <w:lang w:eastAsia="en-AU"/>
        </w:rPr>
        <w:t>10,261</w:t>
      </w:r>
      <w:r w:rsidR="00081A74">
        <w:rPr>
          <w:rFonts w:ascii="Arial" w:eastAsia="Times New Roman" w:hAnsi="Arial" w:cs="Arial"/>
          <w:bCs/>
          <w:lang w:eastAsia="en-AU"/>
        </w:rPr>
        <w:t xml:space="preserve"> Aboriginal people </w:t>
      </w:r>
      <w:r w:rsidR="00FA0031">
        <w:rPr>
          <w:rFonts w:ascii="Arial" w:eastAsia="Times New Roman" w:hAnsi="Arial" w:cs="Arial"/>
          <w:bCs/>
          <w:lang w:eastAsia="en-AU"/>
        </w:rPr>
        <w:t>apprehended for protective custod</w:t>
      </w:r>
      <w:r w:rsidR="009348AD">
        <w:rPr>
          <w:rFonts w:ascii="Arial" w:eastAsia="Times New Roman" w:hAnsi="Arial" w:cs="Arial"/>
          <w:bCs/>
          <w:lang w:eastAsia="en-AU"/>
        </w:rPr>
        <w:t>y</w:t>
      </w:r>
      <w:r w:rsidR="00EA7F2E">
        <w:rPr>
          <w:rStyle w:val="FootnoteReference"/>
          <w:rFonts w:ascii="Arial" w:eastAsia="Times New Roman" w:hAnsi="Arial" w:cs="Arial"/>
          <w:bCs/>
          <w:lang w:eastAsia="en-AU"/>
        </w:rPr>
        <w:footnoteReference w:id="11"/>
      </w:r>
      <w:r w:rsidR="002A6244" w:rsidRPr="00140250">
        <w:rPr>
          <w:rFonts w:ascii="Arial" w:eastAsia="Times New Roman" w:hAnsi="Arial" w:cs="Arial"/>
          <w:bCs/>
          <w:lang w:eastAsia="en-AU"/>
        </w:rPr>
        <w:t xml:space="preserve">. </w:t>
      </w:r>
      <w:r w:rsidR="00081A74">
        <w:rPr>
          <w:rFonts w:ascii="Arial" w:eastAsia="Times New Roman" w:hAnsi="Arial" w:cs="Arial"/>
          <w:bCs/>
          <w:lang w:eastAsia="en-AU"/>
        </w:rPr>
        <w:t>The total number of Aboriginal people arrested by police</w:t>
      </w:r>
      <w:r w:rsidR="00FA0031">
        <w:rPr>
          <w:rFonts w:ascii="Arial" w:eastAsia="Times New Roman" w:hAnsi="Arial" w:cs="Arial"/>
          <w:bCs/>
          <w:lang w:eastAsia="en-AU"/>
        </w:rPr>
        <w:t xml:space="preserve"> that year</w:t>
      </w:r>
      <w:r w:rsidR="00081A74">
        <w:rPr>
          <w:rFonts w:ascii="Arial" w:eastAsia="Times New Roman" w:hAnsi="Arial" w:cs="Arial"/>
          <w:bCs/>
          <w:lang w:eastAsia="en-AU"/>
        </w:rPr>
        <w:t xml:space="preserve"> </w:t>
      </w:r>
      <w:r w:rsidR="00EA7F2E">
        <w:rPr>
          <w:rFonts w:ascii="Arial" w:eastAsia="Times New Roman" w:hAnsi="Arial" w:cs="Arial"/>
          <w:bCs/>
          <w:lang w:eastAsia="en-AU"/>
        </w:rPr>
        <w:t xml:space="preserve">for any other reason </w:t>
      </w:r>
      <w:r w:rsidR="00081A74">
        <w:rPr>
          <w:rFonts w:ascii="Arial" w:eastAsia="Times New Roman" w:hAnsi="Arial" w:cs="Arial"/>
          <w:bCs/>
          <w:lang w:eastAsia="en-AU"/>
        </w:rPr>
        <w:t>was 16</w:t>
      </w:r>
      <w:r w:rsidR="00FA0031">
        <w:rPr>
          <w:rFonts w:ascii="Arial" w:eastAsia="Times New Roman" w:hAnsi="Arial" w:cs="Arial"/>
          <w:bCs/>
          <w:lang w:eastAsia="en-AU"/>
        </w:rPr>
        <w:t>,860.</w:t>
      </w:r>
      <w:bookmarkEnd w:id="4"/>
      <w:r w:rsidR="00FA0031">
        <w:rPr>
          <w:rFonts w:ascii="Arial" w:eastAsia="Times New Roman" w:hAnsi="Arial" w:cs="Arial"/>
          <w:bCs/>
          <w:lang w:eastAsia="en-AU"/>
        </w:rPr>
        <w:t xml:space="preserve"> </w:t>
      </w:r>
      <w:r w:rsidR="001820BB" w:rsidRPr="00140250">
        <w:rPr>
          <w:rFonts w:ascii="Arial" w:eastAsia="Times New Roman" w:hAnsi="Arial" w:cs="Arial"/>
          <w:bCs/>
          <w:lang w:eastAsia="en-AU"/>
        </w:rPr>
        <w:t>It is an extraordinary number of people</w:t>
      </w:r>
      <w:r w:rsidR="00575F63" w:rsidRPr="00140250">
        <w:rPr>
          <w:rFonts w:ascii="Arial" w:eastAsia="Times New Roman" w:hAnsi="Arial" w:cs="Arial"/>
          <w:bCs/>
          <w:lang w:eastAsia="en-AU"/>
        </w:rPr>
        <w:t xml:space="preserve"> spending the night</w:t>
      </w:r>
      <w:r w:rsidR="001820BB" w:rsidRPr="00140250">
        <w:rPr>
          <w:rFonts w:ascii="Arial" w:eastAsia="Times New Roman" w:hAnsi="Arial" w:cs="Arial"/>
          <w:bCs/>
          <w:lang w:eastAsia="en-AU"/>
        </w:rPr>
        <w:t xml:space="preserve"> in a police cell for the sin of drinking to </w:t>
      </w:r>
      <w:r w:rsidR="00713FB6" w:rsidRPr="00140250">
        <w:rPr>
          <w:rFonts w:ascii="Arial" w:eastAsia="Times New Roman" w:hAnsi="Arial" w:cs="Arial"/>
          <w:bCs/>
          <w:lang w:eastAsia="en-AU"/>
        </w:rPr>
        <w:t xml:space="preserve">great </w:t>
      </w:r>
      <w:r w:rsidR="001820BB" w:rsidRPr="00140250">
        <w:rPr>
          <w:rFonts w:ascii="Arial" w:eastAsia="Times New Roman" w:hAnsi="Arial" w:cs="Arial"/>
          <w:bCs/>
          <w:lang w:eastAsia="en-AU"/>
        </w:rPr>
        <w:t>excess</w:t>
      </w:r>
      <w:r w:rsidR="00713FB6" w:rsidRPr="00140250">
        <w:rPr>
          <w:rFonts w:ascii="Arial" w:eastAsia="Times New Roman" w:hAnsi="Arial" w:cs="Arial"/>
          <w:bCs/>
          <w:lang w:eastAsia="en-AU"/>
        </w:rPr>
        <w:t xml:space="preserve">, particularly when there is no </w:t>
      </w:r>
      <w:r w:rsidR="002A6244" w:rsidRPr="00140250">
        <w:rPr>
          <w:rFonts w:ascii="Arial" w:eastAsia="Times New Roman" w:hAnsi="Arial" w:cs="Arial"/>
          <w:bCs/>
          <w:lang w:eastAsia="en-AU"/>
        </w:rPr>
        <w:t xml:space="preserve">independent review or legal advice available </w:t>
      </w:r>
      <w:r w:rsidR="00575F63" w:rsidRPr="00140250">
        <w:rPr>
          <w:rFonts w:ascii="Arial" w:eastAsia="Times New Roman" w:hAnsi="Arial" w:cs="Arial"/>
          <w:bCs/>
          <w:lang w:eastAsia="en-AU"/>
        </w:rPr>
        <w:t xml:space="preserve">after </w:t>
      </w:r>
      <w:r w:rsidR="002A6244" w:rsidRPr="00140250">
        <w:rPr>
          <w:rFonts w:ascii="Arial" w:eastAsia="Times New Roman" w:hAnsi="Arial" w:cs="Arial"/>
          <w:bCs/>
          <w:lang w:eastAsia="en-AU"/>
        </w:rPr>
        <w:t>their apprehension</w:t>
      </w:r>
      <w:r w:rsidR="001820BB" w:rsidRPr="00140250">
        <w:rPr>
          <w:rFonts w:ascii="Arial" w:eastAsia="Times New Roman" w:hAnsi="Arial" w:cs="Arial"/>
          <w:bCs/>
          <w:lang w:eastAsia="en-AU"/>
        </w:rPr>
        <w:t>.</w:t>
      </w:r>
      <w:r w:rsidR="00575F63" w:rsidRPr="00140250">
        <w:rPr>
          <w:rFonts w:ascii="Arial" w:eastAsia="Times New Roman" w:hAnsi="Arial" w:cs="Arial"/>
          <w:bCs/>
          <w:lang w:eastAsia="en-AU"/>
        </w:rPr>
        <w:t xml:space="preserve"> By contrast</w:t>
      </w:r>
      <w:r w:rsidR="00AE3DEF">
        <w:rPr>
          <w:rFonts w:ascii="Arial" w:eastAsia="Times New Roman" w:hAnsi="Arial" w:cs="Arial"/>
          <w:bCs/>
          <w:lang w:eastAsia="en-AU"/>
        </w:rPr>
        <w:t>,</w:t>
      </w:r>
      <w:r w:rsidR="00575F63" w:rsidRPr="00140250">
        <w:rPr>
          <w:rFonts w:ascii="Arial" w:eastAsia="Times New Roman" w:hAnsi="Arial" w:cs="Arial"/>
          <w:bCs/>
          <w:lang w:eastAsia="en-AU"/>
        </w:rPr>
        <w:t xml:space="preserve"> t</w:t>
      </w:r>
      <w:r w:rsidR="001820BB" w:rsidRPr="00140250">
        <w:rPr>
          <w:rFonts w:ascii="Arial" w:eastAsia="Times New Roman" w:hAnsi="Arial" w:cs="Arial"/>
          <w:bCs/>
          <w:lang w:eastAsia="en-AU"/>
        </w:rPr>
        <w:t>he number of non-indigenous people taken into protective custody for the same period was 2</w:t>
      </w:r>
      <w:r w:rsidR="00EA7F2E">
        <w:rPr>
          <w:rFonts w:ascii="Arial" w:eastAsia="Times New Roman" w:hAnsi="Arial" w:cs="Arial"/>
          <w:bCs/>
          <w:lang w:eastAsia="en-AU"/>
        </w:rPr>
        <w:t>94</w:t>
      </w:r>
      <w:r w:rsidR="00EA7F2E">
        <w:rPr>
          <w:rStyle w:val="FootnoteReference"/>
          <w:rFonts w:ascii="Arial" w:eastAsia="Times New Roman" w:hAnsi="Arial" w:cs="Arial"/>
          <w:bCs/>
          <w:lang w:eastAsia="en-AU"/>
        </w:rPr>
        <w:footnoteReference w:id="12"/>
      </w:r>
      <w:r w:rsidR="001820BB" w:rsidRPr="00140250">
        <w:rPr>
          <w:rFonts w:ascii="Arial" w:eastAsia="Times New Roman" w:hAnsi="Arial" w:cs="Arial"/>
          <w:bCs/>
          <w:lang w:eastAsia="en-AU"/>
        </w:rPr>
        <w:t xml:space="preserve">. </w:t>
      </w:r>
      <w:r w:rsidR="001820BB" w:rsidRPr="00140250">
        <w:rPr>
          <w:rFonts w:ascii="Arial" w:hAnsi="Arial" w:cs="Arial"/>
        </w:rPr>
        <w:t>A review of coronial inquest</w:t>
      </w:r>
      <w:r w:rsidR="00F52F90" w:rsidRPr="00140250">
        <w:rPr>
          <w:rFonts w:ascii="Arial" w:hAnsi="Arial" w:cs="Arial"/>
        </w:rPr>
        <w:t>s</w:t>
      </w:r>
      <w:r w:rsidR="001820BB" w:rsidRPr="00140250">
        <w:rPr>
          <w:rFonts w:ascii="Arial" w:hAnsi="Arial" w:cs="Arial"/>
        </w:rPr>
        <w:t xml:space="preserve"> over the past two decades </w:t>
      </w:r>
      <w:r w:rsidR="002A6244" w:rsidRPr="00140250">
        <w:rPr>
          <w:rFonts w:ascii="Arial" w:hAnsi="Arial" w:cs="Arial"/>
        </w:rPr>
        <w:t xml:space="preserve">in the Northern Territory </w:t>
      </w:r>
      <w:r w:rsidR="001820BB" w:rsidRPr="00140250">
        <w:rPr>
          <w:rFonts w:ascii="Arial" w:hAnsi="Arial" w:cs="Arial"/>
        </w:rPr>
        <w:t>shows that the great majority of Aboriginal people dying in police custody were in protective custody at the time</w:t>
      </w:r>
      <w:bookmarkEnd w:id="3"/>
      <w:r w:rsidR="001820BB" w:rsidRPr="00140250">
        <w:rPr>
          <w:rFonts w:ascii="Arial" w:hAnsi="Arial" w:cs="Arial"/>
        </w:rPr>
        <w:t>.</w:t>
      </w:r>
    </w:p>
    <w:p w14:paraId="60F7924E" w14:textId="16544556" w:rsidR="00FB1241" w:rsidRPr="00140250" w:rsidRDefault="00CD3849" w:rsidP="00FB1241">
      <w:pPr>
        <w:shd w:val="clear" w:color="auto" w:fill="FFFFFF"/>
        <w:spacing w:after="180"/>
        <w:outlineLvl w:val="2"/>
        <w:rPr>
          <w:rFonts w:ascii="Arial" w:hAnsi="Arial" w:cs="Arial"/>
          <w:b/>
          <w:shd w:val="clear" w:color="auto" w:fill="FFFFFF"/>
        </w:rPr>
      </w:pPr>
      <w:r w:rsidRPr="00140250">
        <w:rPr>
          <w:rFonts w:ascii="Arial" w:hAnsi="Arial" w:cs="Arial"/>
          <w:b/>
          <w:shd w:val="clear" w:color="auto" w:fill="FFFFFF"/>
        </w:rPr>
        <w:t>(ii)</w:t>
      </w:r>
      <w:r w:rsidRPr="00140250">
        <w:rPr>
          <w:rFonts w:ascii="Arial" w:hAnsi="Arial" w:cs="Arial"/>
          <w:b/>
          <w:shd w:val="clear" w:color="auto" w:fill="FFFFFF"/>
        </w:rPr>
        <w:tab/>
        <w:t xml:space="preserve">Paperless arrest </w:t>
      </w:r>
    </w:p>
    <w:p w14:paraId="2394904D" w14:textId="09AA633E" w:rsidR="00A00B0C" w:rsidRPr="00140250" w:rsidRDefault="00DE3B40" w:rsidP="003F6F41">
      <w:pPr>
        <w:rPr>
          <w:rFonts w:ascii="Arial" w:hAnsi="Arial" w:cs="Arial"/>
        </w:rPr>
      </w:pPr>
      <w:r w:rsidRPr="00140250">
        <w:rPr>
          <w:rFonts w:ascii="Arial" w:hAnsi="Arial" w:cs="Arial"/>
        </w:rPr>
        <w:t>Unique to the Northern Territory, p</w:t>
      </w:r>
      <w:r w:rsidR="00CD3849" w:rsidRPr="00140250">
        <w:rPr>
          <w:rFonts w:ascii="Arial" w:hAnsi="Arial" w:cs="Arial"/>
        </w:rPr>
        <w:t>ursuant t</w:t>
      </w:r>
      <w:r w:rsidR="00F52F90" w:rsidRPr="00140250">
        <w:rPr>
          <w:rFonts w:ascii="Arial" w:hAnsi="Arial" w:cs="Arial"/>
        </w:rPr>
        <w:t>o</w:t>
      </w:r>
      <w:r w:rsidR="00CD3849" w:rsidRPr="00140250">
        <w:rPr>
          <w:rFonts w:ascii="Arial" w:hAnsi="Arial" w:cs="Arial"/>
        </w:rPr>
        <w:t xml:space="preserve"> Division 4AA of the </w:t>
      </w:r>
      <w:r w:rsidR="00CD3849" w:rsidRPr="00140250">
        <w:rPr>
          <w:rFonts w:ascii="Arial" w:hAnsi="Arial" w:cs="Arial"/>
          <w:i/>
        </w:rPr>
        <w:t xml:space="preserve">Police </w:t>
      </w:r>
      <w:r w:rsidR="00A00B0C" w:rsidRPr="00140250">
        <w:rPr>
          <w:rFonts w:ascii="Arial" w:hAnsi="Arial" w:cs="Arial"/>
          <w:i/>
        </w:rPr>
        <w:t xml:space="preserve">Administration Act, </w:t>
      </w:r>
      <w:r w:rsidR="00A00B0C" w:rsidRPr="00140250">
        <w:rPr>
          <w:rFonts w:ascii="Arial" w:hAnsi="Arial" w:cs="Arial"/>
        </w:rPr>
        <w:t>the</w:t>
      </w:r>
      <w:r w:rsidR="00F52F90" w:rsidRPr="00140250">
        <w:rPr>
          <w:rFonts w:ascii="Arial" w:hAnsi="Arial" w:cs="Arial"/>
        </w:rPr>
        <w:t xml:space="preserve"> police have the</w:t>
      </w:r>
      <w:r w:rsidR="00A00B0C" w:rsidRPr="00140250">
        <w:rPr>
          <w:rFonts w:ascii="Arial" w:hAnsi="Arial" w:cs="Arial"/>
        </w:rPr>
        <w:t xml:space="preserve"> power to arrest a person, without a warrant, if the officer</w:t>
      </w:r>
      <w:r w:rsidR="00CD3849" w:rsidRPr="00140250">
        <w:rPr>
          <w:rFonts w:ascii="Arial" w:hAnsi="Arial" w:cs="Arial"/>
        </w:rPr>
        <w:t xml:space="preserve"> believe</w:t>
      </w:r>
      <w:r w:rsidR="00A00B0C" w:rsidRPr="00140250">
        <w:rPr>
          <w:rFonts w:ascii="Arial" w:hAnsi="Arial" w:cs="Arial"/>
        </w:rPr>
        <w:t>s</w:t>
      </w:r>
      <w:r w:rsidR="00CD3849" w:rsidRPr="00140250">
        <w:rPr>
          <w:rFonts w:ascii="Arial" w:hAnsi="Arial" w:cs="Arial"/>
        </w:rPr>
        <w:t xml:space="preserve"> on reasonable grounds that </w:t>
      </w:r>
      <w:r w:rsidR="0086697D" w:rsidRPr="00140250">
        <w:rPr>
          <w:rFonts w:ascii="Arial" w:hAnsi="Arial" w:cs="Arial"/>
        </w:rPr>
        <w:t>they</w:t>
      </w:r>
      <w:r w:rsidR="00CD3849" w:rsidRPr="00140250">
        <w:rPr>
          <w:rFonts w:ascii="Arial" w:hAnsi="Arial" w:cs="Arial"/>
        </w:rPr>
        <w:t xml:space="preserve"> have committed </w:t>
      </w:r>
      <w:r w:rsidR="00CD3849" w:rsidRPr="00140250">
        <w:rPr>
          <w:rFonts w:ascii="Arial" w:hAnsi="Arial" w:cs="Arial"/>
          <w:b/>
        </w:rPr>
        <w:t>or were about to commit</w:t>
      </w:r>
      <w:r w:rsidR="00CD3849" w:rsidRPr="00140250">
        <w:rPr>
          <w:rFonts w:ascii="Arial" w:hAnsi="Arial" w:cs="Arial"/>
        </w:rPr>
        <w:t xml:space="preserve"> an ‘infringement notice</w:t>
      </w:r>
      <w:r w:rsidRPr="00140250">
        <w:rPr>
          <w:rFonts w:ascii="Arial" w:hAnsi="Arial" w:cs="Arial"/>
        </w:rPr>
        <w:t xml:space="preserve"> offence’</w:t>
      </w:r>
      <w:r w:rsidR="00A00B0C" w:rsidRPr="00140250">
        <w:rPr>
          <w:rFonts w:ascii="Arial" w:hAnsi="Arial" w:cs="Arial"/>
        </w:rPr>
        <w:t xml:space="preserve">. </w:t>
      </w:r>
      <w:r w:rsidRPr="00140250">
        <w:rPr>
          <w:rFonts w:ascii="Arial" w:hAnsi="Arial" w:cs="Arial"/>
        </w:rPr>
        <w:t xml:space="preserve">An ‘infringement notice offence’ is defined to include a range of offences for which an on-the-spot fine can be issued under the </w:t>
      </w:r>
      <w:r w:rsidRPr="00140250">
        <w:rPr>
          <w:rFonts w:ascii="Arial" w:hAnsi="Arial" w:cs="Arial"/>
          <w:i/>
          <w:iCs/>
        </w:rPr>
        <w:t>Summary Offences Act</w:t>
      </w:r>
      <w:r w:rsidRPr="00140250">
        <w:rPr>
          <w:rFonts w:ascii="Arial" w:hAnsi="Arial" w:cs="Arial"/>
        </w:rPr>
        <w:t xml:space="preserve">, the </w:t>
      </w:r>
      <w:r w:rsidRPr="00140250">
        <w:rPr>
          <w:rFonts w:ascii="Arial" w:hAnsi="Arial" w:cs="Arial"/>
          <w:i/>
          <w:iCs/>
        </w:rPr>
        <w:t>Liquor Act</w:t>
      </w:r>
      <w:r w:rsidRPr="00140250">
        <w:rPr>
          <w:rFonts w:ascii="Arial" w:hAnsi="Arial" w:cs="Arial"/>
        </w:rPr>
        <w:t xml:space="preserve">, and the </w:t>
      </w:r>
      <w:r w:rsidRPr="00140250">
        <w:rPr>
          <w:rFonts w:ascii="Arial" w:hAnsi="Arial" w:cs="Arial"/>
          <w:i/>
          <w:iCs/>
        </w:rPr>
        <w:t>Misuse of Drugs Act</w:t>
      </w:r>
      <w:r w:rsidRPr="00140250">
        <w:rPr>
          <w:rFonts w:ascii="Arial" w:hAnsi="Arial" w:cs="Arial"/>
        </w:rPr>
        <w:t xml:space="preserve">. </w:t>
      </w:r>
      <w:r w:rsidR="0086697D" w:rsidRPr="00140250">
        <w:rPr>
          <w:rFonts w:ascii="Arial" w:hAnsi="Arial" w:cs="Arial"/>
        </w:rPr>
        <w:t xml:space="preserve">Jonathon </w:t>
      </w:r>
      <w:proofErr w:type="spellStart"/>
      <w:r w:rsidR="0086697D" w:rsidRPr="00140250">
        <w:rPr>
          <w:rFonts w:ascii="Arial" w:hAnsi="Arial" w:cs="Arial"/>
        </w:rPr>
        <w:t>Hunyor</w:t>
      </w:r>
      <w:proofErr w:type="spellEnd"/>
      <w:r w:rsidR="004608E1" w:rsidRPr="00140250">
        <w:rPr>
          <w:rStyle w:val="FootnoteReference"/>
          <w:rFonts w:ascii="Arial" w:hAnsi="Arial" w:cs="Arial"/>
        </w:rPr>
        <w:footnoteReference w:id="13"/>
      </w:r>
      <w:r w:rsidR="004608E1" w:rsidRPr="00140250">
        <w:rPr>
          <w:rFonts w:ascii="Arial" w:hAnsi="Arial" w:cs="Arial"/>
        </w:rPr>
        <w:t xml:space="preserve">colourfully </w:t>
      </w:r>
      <w:r w:rsidR="00624F13" w:rsidRPr="00140250">
        <w:rPr>
          <w:rFonts w:ascii="Arial" w:hAnsi="Arial" w:cs="Arial"/>
        </w:rPr>
        <w:t>summarised</w:t>
      </w:r>
      <w:r w:rsidR="004608E1" w:rsidRPr="00140250">
        <w:rPr>
          <w:rFonts w:ascii="Arial" w:hAnsi="Arial" w:cs="Arial"/>
        </w:rPr>
        <w:t xml:space="preserve"> some of the offences </w:t>
      </w:r>
      <w:r w:rsidR="002A64B0" w:rsidRPr="00140250">
        <w:rPr>
          <w:rFonts w:ascii="Arial" w:hAnsi="Arial" w:cs="Arial"/>
        </w:rPr>
        <w:t xml:space="preserve">as </w:t>
      </w:r>
      <w:r w:rsidR="004608E1" w:rsidRPr="00140250">
        <w:rPr>
          <w:rFonts w:ascii="Arial" w:hAnsi="Arial" w:cs="Arial"/>
        </w:rPr>
        <w:t>“</w:t>
      </w:r>
      <w:r w:rsidRPr="00140250">
        <w:rPr>
          <w:rFonts w:ascii="Arial" w:hAnsi="Arial" w:cs="Arial"/>
        </w:rPr>
        <w:t xml:space="preserve">as failing to keep a front yard clean; singing an obscene song; abandoning a refrigerator or ice chest (considered particularly serious if it contains beer); playing a musical instrument </w:t>
      </w:r>
      <w:proofErr w:type="gramStart"/>
      <w:r w:rsidRPr="00140250">
        <w:rPr>
          <w:rFonts w:ascii="Arial" w:hAnsi="Arial" w:cs="Arial"/>
        </w:rPr>
        <w:t>so as to</w:t>
      </w:r>
      <w:proofErr w:type="gramEnd"/>
      <w:r w:rsidRPr="00140250">
        <w:rPr>
          <w:rFonts w:ascii="Arial" w:hAnsi="Arial" w:cs="Arial"/>
        </w:rPr>
        <w:t xml:space="preserve"> annoy; and the popular leaving dead animals in a public place. More to the point it also includes offences such as consuming liquor within a public restricted area</w:t>
      </w:r>
      <w:r w:rsidR="00713FB6" w:rsidRPr="00140250">
        <w:rPr>
          <w:rFonts w:ascii="Arial" w:hAnsi="Arial" w:cs="Arial"/>
        </w:rPr>
        <w:t xml:space="preserve"> or behaving in a disorderly</w:t>
      </w:r>
      <w:r w:rsidRPr="00140250">
        <w:rPr>
          <w:rFonts w:ascii="Arial" w:hAnsi="Arial" w:cs="Arial"/>
        </w:rPr>
        <w:t>; offensive conduct; using profane language and attempting to re-enter a licensed premises within 12 hours of being removed”.</w:t>
      </w:r>
      <w:r w:rsidR="00A00B0C" w:rsidRPr="00140250">
        <w:rPr>
          <w:rFonts w:ascii="Arial" w:hAnsi="Arial" w:cs="Arial"/>
        </w:rPr>
        <w:t xml:space="preserve"> </w:t>
      </w:r>
      <w:r w:rsidR="00713FB6" w:rsidRPr="00140250">
        <w:rPr>
          <w:rFonts w:ascii="Arial" w:hAnsi="Arial" w:cs="Arial"/>
        </w:rPr>
        <w:t>In</w:t>
      </w:r>
      <w:r w:rsidR="00A00B0C" w:rsidRPr="00140250">
        <w:rPr>
          <w:rFonts w:ascii="Arial" w:hAnsi="Arial" w:cs="Arial"/>
        </w:rPr>
        <w:t xml:space="preserve"> other jurisdictions</w:t>
      </w:r>
      <w:r w:rsidR="006C08B8">
        <w:rPr>
          <w:rFonts w:ascii="Arial" w:hAnsi="Arial" w:cs="Arial"/>
        </w:rPr>
        <w:t>,</w:t>
      </w:r>
      <w:r w:rsidR="00A00B0C" w:rsidRPr="00140250">
        <w:rPr>
          <w:rFonts w:ascii="Arial" w:hAnsi="Arial" w:cs="Arial"/>
        </w:rPr>
        <w:t xml:space="preserve"> </w:t>
      </w:r>
      <w:r w:rsidR="00713FB6" w:rsidRPr="00140250">
        <w:rPr>
          <w:rFonts w:ascii="Arial" w:hAnsi="Arial" w:cs="Arial"/>
        </w:rPr>
        <w:t xml:space="preserve">these offences </w:t>
      </w:r>
      <w:r w:rsidR="00A00B0C" w:rsidRPr="00140250">
        <w:rPr>
          <w:rFonts w:ascii="Arial" w:hAnsi="Arial" w:cs="Arial"/>
        </w:rPr>
        <w:t xml:space="preserve">do not ordinarily enliven the power of arrest but instead result in the issuing of </w:t>
      </w:r>
      <w:r w:rsidR="00A00B0C" w:rsidRPr="00140250">
        <w:rPr>
          <w:rFonts w:ascii="Arial" w:hAnsi="Arial" w:cs="Arial"/>
        </w:rPr>
        <w:lastRenderedPageBreak/>
        <w:t xml:space="preserve">infringement notices. </w:t>
      </w:r>
      <w:r w:rsidR="002A64B0" w:rsidRPr="00140250">
        <w:rPr>
          <w:rFonts w:ascii="Arial" w:hAnsi="Arial" w:cs="Arial"/>
        </w:rPr>
        <w:t>Once arrested, the</w:t>
      </w:r>
      <w:r w:rsidR="006C08B8">
        <w:rPr>
          <w:rFonts w:ascii="Arial" w:hAnsi="Arial" w:cs="Arial"/>
        </w:rPr>
        <w:t>se</w:t>
      </w:r>
      <w:r w:rsidR="002A64B0" w:rsidRPr="00140250">
        <w:rPr>
          <w:rFonts w:ascii="Arial" w:hAnsi="Arial" w:cs="Arial"/>
        </w:rPr>
        <w:t xml:space="preserve"> powers permit</w:t>
      </w:r>
      <w:r w:rsidR="004608E1" w:rsidRPr="00140250">
        <w:rPr>
          <w:rFonts w:ascii="Arial" w:hAnsi="Arial" w:cs="Arial"/>
        </w:rPr>
        <w:t xml:space="preserve"> </w:t>
      </w:r>
      <w:r w:rsidR="00A00B0C" w:rsidRPr="00140250">
        <w:rPr>
          <w:rFonts w:ascii="Arial" w:hAnsi="Arial" w:cs="Arial"/>
        </w:rPr>
        <w:t xml:space="preserve">police </w:t>
      </w:r>
      <w:r w:rsidR="002A64B0" w:rsidRPr="00140250">
        <w:rPr>
          <w:rFonts w:ascii="Arial" w:hAnsi="Arial" w:cs="Arial"/>
        </w:rPr>
        <w:t>to</w:t>
      </w:r>
      <w:r w:rsidR="00A00B0C" w:rsidRPr="00140250">
        <w:rPr>
          <w:rFonts w:ascii="Arial" w:hAnsi="Arial" w:cs="Arial"/>
        </w:rPr>
        <w:t xml:space="preserve"> hold </w:t>
      </w:r>
      <w:r w:rsidR="004608E1" w:rsidRPr="00140250">
        <w:rPr>
          <w:rFonts w:ascii="Arial" w:hAnsi="Arial" w:cs="Arial"/>
        </w:rPr>
        <w:t>pe</w:t>
      </w:r>
      <w:r w:rsidR="002A64B0" w:rsidRPr="00140250">
        <w:rPr>
          <w:rFonts w:ascii="Arial" w:hAnsi="Arial" w:cs="Arial"/>
        </w:rPr>
        <w:t>ople in custody</w:t>
      </w:r>
      <w:r w:rsidR="00A00B0C" w:rsidRPr="00140250">
        <w:rPr>
          <w:rFonts w:ascii="Arial" w:hAnsi="Arial" w:cs="Arial"/>
        </w:rPr>
        <w:t xml:space="preserve"> for up to 4 hours, or un</w:t>
      </w:r>
      <w:r w:rsidR="004608E1" w:rsidRPr="00140250">
        <w:rPr>
          <w:rFonts w:ascii="Arial" w:hAnsi="Arial" w:cs="Arial"/>
        </w:rPr>
        <w:t>til they are sober,</w:t>
      </w:r>
      <w:r w:rsidR="00A00B0C" w:rsidRPr="00140250">
        <w:rPr>
          <w:rFonts w:ascii="Arial" w:hAnsi="Arial" w:cs="Arial"/>
        </w:rPr>
        <w:t xml:space="preserve"> without notifying anyone</w:t>
      </w:r>
      <w:r w:rsidR="002A64B0" w:rsidRPr="00140250">
        <w:rPr>
          <w:rFonts w:ascii="Arial" w:hAnsi="Arial" w:cs="Arial"/>
        </w:rPr>
        <w:t xml:space="preserve"> </w:t>
      </w:r>
      <w:r w:rsidR="00624F13" w:rsidRPr="00140250">
        <w:rPr>
          <w:rFonts w:ascii="Arial" w:hAnsi="Arial" w:cs="Arial"/>
        </w:rPr>
        <w:t>while they decide whether to release them or issue them with an infringement notice</w:t>
      </w:r>
      <w:r w:rsidR="00A00B0C" w:rsidRPr="00140250">
        <w:rPr>
          <w:rFonts w:ascii="Arial" w:hAnsi="Arial" w:cs="Arial"/>
        </w:rPr>
        <w:t>.</w:t>
      </w:r>
      <w:r w:rsidR="00F0588C" w:rsidRPr="00140250">
        <w:rPr>
          <w:rFonts w:ascii="Arial" w:hAnsi="Arial" w:cs="Arial"/>
        </w:rPr>
        <w:t xml:space="preserve"> </w:t>
      </w:r>
      <w:r w:rsidR="00853EC9" w:rsidRPr="00140250">
        <w:rPr>
          <w:rFonts w:ascii="Arial" w:hAnsi="Arial" w:cs="Arial"/>
        </w:rPr>
        <w:t xml:space="preserve">This led the </w:t>
      </w:r>
      <w:proofErr w:type="gramStart"/>
      <w:r w:rsidR="00853EC9" w:rsidRPr="00140250">
        <w:rPr>
          <w:rFonts w:ascii="Arial" w:hAnsi="Arial" w:cs="Arial"/>
        </w:rPr>
        <w:t>Coroner</w:t>
      </w:r>
      <w:proofErr w:type="gramEnd"/>
      <w:r w:rsidR="00853EC9" w:rsidRPr="00140250">
        <w:rPr>
          <w:rFonts w:ascii="Arial" w:hAnsi="Arial" w:cs="Arial"/>
        </w:rPr>
        <w:t xml:space="preserve"> to recommend th</w:t>
      </w:r>
      <w:r w:rsidR="002A64B0" w:rsidRPr="00140250">
        <w:rPr>
          <w:rFonts w:ascii="Arial" w:hAnsi="Arial" w:cs="Arial"/>
        </w:rPr>
        <w:t>e</w:t>
      </w:r>
      <w:r w:rsidR="00F52F90" w:rsidRPr="00140250">
        <w:rPr>
          <w:rFonts w:ascii="Arial" w:hAnsi="Arial" w:cs="Arial"/>
        </w:rPr>
        <w:t xml:space="preserve"> </w:t>
      </w:r>
      <w:r w:rsidR="00624F13" w:rsidRPr="00140250">
        <w:rPr>
          <w:rFonts w:ascii="Arial" w:hAnsi="Arial" w:cs="Arial"/>
        </w:rPr>
        <w:t>D</w:t>
      </w:r>
      <w:r w:rsidR="00F52F90" w:rsidRPr="00140250">
        <w:rPr>
          <w:rFonts w:ascii="Arial" w:hAnsi="Arial" w:cs="Arial"/>
        </w:rPr>
        <w:t>ivision’s</w:t>
      </w:r>
      <w:r w:rsidR="002A64B0" w:rsidRPr="00140250">
        <w:rPr>
          <w:rFonts w:ascii="Arial" w:hAnsi="Arial" w:cs="Arial"/>
        </w:rPr>
        <w:t xml:space="preserve"> repeal</w:t>
      </w:r>
      <w:r w:rsidR="00853EC9" w:rsidRPr="00140250">
        <w:rPr>
          <w:rStyle w:val="FootnoteReference"/>
          <w:rFonts w:ascii="Arial" w:hAnsi="Arial" w:cs="Arial"/>
        </w:rPr>
        <w:footnoteReference w:id="14"/>
      </w:r>
      <w:r w:rsidR="00853EC9" w:rsidRPr="00140250">
        <w:rPr>
          <w:rFonts w:ascii="Arial" w:hAnsi="Arial" w:cs="Arial"/>
        </w:rPr>
        <w:t xml:space="preserve"> </w:t>
      </w:r>
      <w:r w:rsidR="00F52F90" w:rsidRPr="00140250">
        <w:rPr>
          <w:rFonts w:ascii="Arial" w:hAnsi="Arial" w:cs="Arial"/>
        </w:rPr>
        <w:t>lest</w:t>
      </w:r>
      <w:r w:rsidR="00853EC9" w:rsidRPr="00140250">
        <w:rPr>
          <w:rFonts w:ascii="Arial" w:hAnsi="Arial" w:cs="Arial"/>
        </w:rPr>
        <w:t xml:space="preserve"> “more and more disadvantaged Aboriginal people </w:t>
      </w:r>
      <w:r w:rsidR="00F52F90" w:rsidRPr="00140250">
        <w:rPr>
          <w:rFonts w:ascii="Arial" w:hAnsi="Arial" w:cs="Arial"/>
        </w:rPr>
        <w:t>(be put at)</w:t>
      </w:r>
      <w:r w:rsidR="00853EC9" w:rsidRPr="00140250">
        <w:rPr>
          <w:rFonts w:ascii="Arial" w:hAnsi="Arial" w:cs="Arial"/>
        </w:rPr>
        <w:t xml:space="preserve"> risk of dying in custody, and unnecessarily so.”</w:t>
      </w:r>
      <w:r w:rsidR="00853EC9" w:rsidRPr="00140250">
        <w:rPr>
          <w:rStyle w:val="FootnoteReference"/>
          <w:rFonts w:ascii="Arial" w:hAnsi="Arial" w:cs="Arial"/>
        </w:rPr>
        <w:footnoteReference w:id="15"/>
      </w:r>
      <w:r w:rsidR="00853EC9" w:rsidRPr="00140250">
        <w:rPr>
          <w:rFonts w:ascii="Arial" w:hAnsi="Arial" w:cs="Arial"/>
        </w:rPr>
        <w:t xml:space="preserve"> It also lead NAAJA to challenge the validity of the legislation in the High Court </w:t>
      </w:r>
      <w:r w:rsidR="00F52F90" w:rsidRPr="00140250">
        <w:rPr>
          <w:rFonts w:ascii="Arial" w:hAnsi="Arial" w:cs="Arial"/>
        </w:rPr>
        <w:t>for essentially conveying judicial-like powers o</w:t>
      </w:r>
      <w:r w:rsidR="00624F13" w:rsidRPr="00140250">
        <w:rPr>
          <w:rFonts w:ascii="Arial" w:hAnsi="Arial" w:cs="Arial"/>
        </w:rPr>
        <w:t>n</w:t>
      </w:r>
      <w:r w:rsidR="00F52F90" w:rsidRPr="00140250">
        <w:rPr>
          <w:rFonts w:ascii="Arial" w:hAnsi="Arial" w:cs="Arial"/>
        </w:rPr>
        <w:t xml:space="preserve"> police. T</w:t>
      </w:r>
      <w:r w:rsidR="00853EC9" w:rsidRPr="00140250">
        <w:rPr>
          <w:rFonts w:ascii="Arial" w:hAnsi="Arial" w:cs="Arial"/>
        </w:rPr>
        <w:t>he majority</w:t>
      </w:r>
      <w:r w:rsidR="00F52F90" w:rsidRPr="00140250">
        <w:rPr>
          <w:rFonts w:ascii="Arial" w:hAnsi="Arial" w:cs="Arial"/>
        </w:rPr>
        <w:t>, however, disagreed and</w:t>
      </w:r>
      <w:r w:rsidR="00853EC9" w:rsidRPr="00140250">
        <w:rPr>
          <w:rFonts w:ascii="Arial" w:hAnsi="Arial" w:cs="Arial"/>
        </w:rPr>
        <w:t xml:space="preserve"> construed the laws as </w:t>
      </w:r>
      <w:r w:rsidR="00C876B5" w:rsidRPr="00140250">
        <w:rPr>
          <w:rFonts w:ascii="Arial" w:hAnsi="Arial" w:cs="Arial"/>
        </w:rPr>
        <w:t>being subject to the common law</w:t>
      </w:r>
      <w:r w:rsidR="002A64B0" w:rsidRPr="00140250">
        <w:rPr>
          <w:rFonts w:ascii="Arial" w:hAnsi="Arial" w:cs="Arial"/>
        </w:rPr>
        <w:t>,</w:t>
      </w:r>
      <w:r w:rsidR="00C876B5" w:rsidRPr="00140250">
        <w:rPr>
          <w:rFonts w:ascii="Arial" w:hAnsi="Arial" w:cs="Arial"/>
        </w:rPr>
        <w:t xml:space="preserve"> if not s137 of the </w:t>
      </w:r>
      <w:r w:rsidR="00C876B5" w:rsidRPr="00140250">
        <w:rPr>
          <w:rFonts w:ascii="Arial" w:hAnsi="Arial" w:cs="Arial"/>
          <w:i/>
          <w:iCs/>
        </w:rPr>
        <w:t>Police Administration Act</w:t>
      </w:r>
      <w:r w:rsidR="00C876B5" w:rsidRPr="00140250">
        <w:rPr>
          <w:rFonts w:ascii="Arial" w:hAnsi="Arial" w:cs="Arial"/>
        </w:rPr>
        <w:t xml:space="preserve">, which requires the person to be brought before a court </w:t>
      </w:r>
      <w:r w:rsidR="00C876B5" w:rsidRPr="00140250">
        <w:rPr>
          <w:rFonts w:ascii="Arial" w:hAnsi="Arial" w:cs="Arial"/>
          <w:i/>
          <w:iCs/>
        </w:rPr>
        <w:t>as soon as practicable</w:t>
      </w:r>
      <w:r w:rsidR="00C876B5" w:rsidRPr="00140250">
        <w:rPr>
          <w:rFonts w:ascii="Arial" w:hAnsi="Arial" w:cs="Arial"/>
        </w:rPr>
        <w:t xml:space="preserve"> within that </w:t>
      </w:r>
      <w:proofErr w:type="gramStart"/>
      <w:r w:rsidR="00C876B5" w:rsidRPr="00140250">
        <w:rPr>
          <w:rFonts w:ascii="Arial" w:hAnsi="Arial" w:cs="Arial"/>
        </w:rPr>
        <w:t>4 hour</w:t>
      </w:r>
      <w:proofErr w:type="gramEnd"/>
      <w:r w:rsidR="00C876B5" w:rsidRPr="00140250">
        <w:rPr>
          <w:rFonts w:ascii="Arial" w:hAnsi="Arial" w:cs="Arial"/>
        </w:rPr>
        <w:t xml:space="preserve"> time period</w:t>
      </w:r>
      <w:r w:rsidR="00C876B5" w:rsidRPr="00140250">
        <w:rPr>
          <w:rStyle w:val="FootnoteReference"/>
          <w:rFonts w:ascii="Arial" w:hAnsi="Arial" w:cs="Arial"/>
        </w:rPr>
        <w:footnoteReference w:id="16"/>
      </w:r>
      <w:r w:rsidR="00C876B5" w:rsidRPr="00140250">
        <w:rPr>
          <w:rFonts w:ascii="Arial" w:hAnsi="Arial" w:cs="Arial"/>
        </w:rPr>
        <w:t xml:space="preserve">. </w:t>
      </w:r>
    </w:p>
    <w:p w14:paraId="28D5EB7D" w14:textId="31B7E50A" w:rsidR="00C45C1A" w:rsidRPr="00140250" w:rsidRDefault="00C45C1A" w:rsidP="003F6F41">
      <w:pPr>
        <w:rPr>
          <w:rFonts w:ascii="Arial" w:hAnsi="Arial" w:cs="Arial"/>
        </w:rPr>
      </w:pPr>
    </w:p>
    <w:p w14:paraId="76DA872C" w14:textId="0587C2CB" w:rsidR="00C45C1A" w:rsidRPr="00140250" w:rsidRDefault="00C45C1A" w:rsidP="003F6F41">
      <w:pPr>
        <w:rPr>
          <w:rFonts w:ascii="Arial" w:hAnsi="Arial" w:cs="Arial"/>
        </w:rPr>
      </w:pPr>
      <w:r w:rsidRPr="00140250">
        <w:rPr>
          <w:rFonts w:ascii="Arial" w:hAnsi="Arial" w:cs="Arial"/>
        </w:rPr>
        <w:t xml:space="preserve">In 2017-2018 almost 3000 Aboriginal people were arrested under the ‘paperless arrests’ powers. </w:t>
      </w:r>
    </w:p>
    <w:p w14:paraId="1570AF9E" w14:textId="77777777" w:rsidR="004A36FF" w:rsidRPr="00140250" w:rsidRDefault="004A36FF" w:rsidP="003F6F41">
      <w:pPr>
        <w:rPr>
          <w:rFonts w:ascii="Arial" w:hAnsi="Arial" w:cs="Arial"/>
        </w:rPr>
      </w:pPr>
    </w:p>
    <w:p w14:paraId="1F0E0B7B" w14:textId="75C16C46" w:rsidR="004A36FF" w:rsidRPr="00140250" w:rsidRDefault="004A36FF" w:rsidP="00152A8E">
      <w:pPr>
        <w:pStyle w:val="ListParagraph"/>
        <w:numPr>
          <w:ilvl w:val="0"/>
          <w:numId w:val="7"/>
        </w:numPr>
        <w:rPr>
          <w:rFonts w:ascii="Arial" w:hAnsi="Arial" w:cs="Arial"/>
          <w:b/>
        </w:rPr>
      </w:pPr>
      <w:r w:rsidRPr="00140250">
        <w:rPr>
          <w:rFonts w:ascii="Arial" w:hAnsi="Arial" w:cs="Arial"/>
          <w:b/>
        </w:rPr>
        <w:t>Arrest without a warrant</w:t>
      </w:r>
    </w:p>
    <w:p w14:paraId="78DB214E" w14:textId="77777777" w:rsidR="00C876B5" w:rsidRPr="00140250" w:rsidRDefault="00C876B5" w:rsidP="003F6F41">
      <w:pPr>
        <w:rPr>
          <w:rFonts w:ascii="Arial" w:hAnsi="Arial" w:cs="Arial"/>
        </w:rPr>
      </w:pPr>
    </w:p>
    <w:p w14:paraId="0999B350" w14:textId="03E116B0" w:rsidR="00C876B5" w:rsidRPr="00F9140A" w:rsidRDefault="006C08B8" w:rsidP="003F6F41">
      <w:pPr>
        <w:rPr>
          <w:rFonts w:ascii="Arial" w:hAnsi="Arial" w:cs="Arial"/>
        </w:rPr>
      </w:pPr>
      <w:bookmarkStart w:id="5" w:name="_Hlk107326303"/>
      <w:r w:rsidRPr="006B2569">
        <w:rPr>
          <w:rFonts w:ascii="Arial" w:hAnsi="Arial" w:cs="Arial"/>
        </w:rPr>
        <w:t>To</w:t>
      </w:r>
      <w:r w:rsidR="00152A8E" w:rsidRPr="006B2569">
        <w:rPr>
          <w:rFonts w:ascii="Arial" w:hAnsi="Arial" w:cs="Arial"/>
        </w:rPr>
        <w:t xml:space="preserve"> arrest a person without a warrant in the</w:t>
      </w:r>
      <w:r w:rsidR="004A36FF" w:rsidRPr="006B2569">
        <w:rPr>
          <w:rFonts w:ascii="Arial" w:hAnsi="Arial" w:cs="Arial"/>
        </w:rPr>
        <w:t xml:space="preserve"> Northern Territory</w:t>
      </w:r>
      <w:r w:rsidR="00152A8E" w:rsidRPr="006B2569">
        <w:rPr>
          <w:rFonts w:ascii="Arial" w:hAnsi="Arial" w:cs="Arial"/>
        </w:rPr>
        <w:t xml:space="preserve">, all that is required is the reasonable belief by the arresting that an offence has, is, </w:t>
      </w:r>
      <w:r w:rsidR="00152A8E" w:rsidRPr="006B2569">
        <w:rPr>
          <w:rFonts w:ascii="Arial" w:hAnsi="Arial" w:cs="Arial"/>
          <w:i/>
          <w:iCs/>
        </w:rPr>
        <w:t>or is about to</w:t>
      </w:r>
      <w:r w:rsidR="00152A8E" w:rsidRPr="006B2569">
        <w:rPr>
          <w:rFonts w:ascii="Arial" w:hAnsi="Arial" w:cs="Arial"/>
        </w:rPr>
        <w:t xml:space="preserve"> commit an offence</w:t>
      </w:r>
      <w:r w:rsidR="00D85BD9" w:rsidRPr="006B2569">
        <w:rPr>
          <w:rStyle w:val="FootnoteReference"/>
          <w:rFonts w:ascii="Arial" w:hAnsi="Arial" w:cs="Arial"/>
        </w:rPr>
        <w:footnoteReference w:id="17"/>
      </w:r>
      <w:r w:rsidR="00D85BD9" w:rsidRPr="006B2569">
        <w:rPr>
          <w:rFonts w:ascii="Arial" w:hAnsi="Arial" w:cs="Arial"/>
        </w:rPr>
        <w:t xml:space="preserve">. </w:t>
      </w:r>
      <w:r w:rsidR="00F52F90" w:rsidRPr="006B2569">
        <w:rPr>
          <w:rFonts w:ascii="Arial" w:hAnsi="Arial" w:cs="Arial"/>
        </w:rPr>
        <w:t>Unlike in most other jurisdictions</w:t>
      </w:r>
      <w:r w:rsidR="00F52F90" w:rsidRPr="006B2569">
        <w:rPr>
          <w:rStyle w:val="FootnoteReference"/>
          <w:rFonts w:ascii="Arial" w:hAnsi="Arial" w:cs="Arial"/>
        </w:rPr>
        <w:footnoteReference w:id="18"/>
      </w:r>
      <w:r w:rsidR="00B663D8" w:rsidRPr="006B2569">
        <w:rPr>
          <w:rFonts w:ascii="Arial" w:hAnsi="Arial" w:cs="Arial"/>
        </w:rPr>
        <w:t>, t</w:t>
      </w:r>
      <w:r w:rsidR="00B663D8" w:rsidRPr="00F9140A">
        <w:rPr>
          <w:rFonts w:ascii="Arial" w:hAnsi="Arial" w:cs="Arial"/>
        </w:rPr>
        <w:t>h</w:t>
      </w:r>
      <w:r w:rsidR="009574A9" w:rsidRPr="00F9140A">
        <w:rPr>
          <w:rFonts w:ascii="Arial" w:hAnsi="Arial" w:cs="Arial"/>
        </w:rPr>
        <w:t xml:space="preserve">ere is no statutory requirement </w:t>
      </w:r>
      <w:r w:rsidR="00D85BD9" w:rsidRPr="00F9140A">
        <w:rPr>
          <w:rFonts w:ascii="Arial" w:hAnsi="Arial" w:cs="Arial"/>
        </w:rPr>
        <w:t xml:space="preserve">for an arresting officer in the NT </w:t>
      </w:r>
      <w:r w:rsidR="009574A9" w:rsidRPr="00F9140A">
        <w:rPr>
          <w:rFonts w:ascii="Arial" w:hAnsi="Arial" w:cs="Arial"/>
        </w:rPr>
        <w:t>to consider alternative</w:t>
      </w:r>
      <w:r w:rsidR="000C2A05" w:rsidRPr="00F9140A">
        <w:rPr>
          <w:rFonts w:ascii="Arial" w:hAnsi="Arial" w:cs="Arial"/>
        </w:rPr>
        <w:t>s</w:t>
      </w:r>
      <w:r w:rsidR="009574A9" w:rsidRPr="00F9140A">
        <w:rPr>
          <w:rFonts w:ascii="Arial" w:hAnsi="Arial" w:cs="Arial"/>
        </w:rPr>
        <w:t xml:space="preserve"> to arrest</w:t>
      </w:r>
      <w:bookmarkEnd w:id="5"/>
      <w:r w:rsidR="007779A2" w:rsidRPr="00F9140A">
        <w:rPr>
          <w:rFonts w:ascii="Arial" w:hAnsi="Arial" w:cs="Arial"/>
        </w:rPr>
        <w:t>.</w:t>
      </w:r>
      <w:r w:rsidR="00F9140A" w:rsidRPr="00F9140A">
        <w:rPr>
          <w:rFonts w:ascii="Arial" w:hAnsi="Arial" w:cs="Arial"/>
        </w:rPr>
        <w:t xml:space="preserve"> While the </w:t>
      </w:r>
      <w:r w:rsidR="00F9140A" w:rsidRPr="00C508C7">
        <w:rPr>
          <w:rFonts w:ascii="Arial" w:hAnsi="Arial" w:cs="Arial"/>
          <w:i/>
          <w:iCs/>
        </w:rPr>
        <w:t>Youth Justice Act</w:t>
      </w:r>
      <w:r w:rsidR="00F9140A" w:rsidRPr="00F9140A">
        <w:rPr>
          <w:rFonts w:ascii="Arial" w:hAnsi="Arial" w:cs="Arial"/>
        </w:rPr>
        <w:t xml:space="preserve"> retains the requirement that “</w:t>
      </w:r>
      <w:r w:rsidR="00F9140A" w:rsidRPr="00F9140A">
        <w:rPr>
          <w:rFonts w:ascii="Arial" w:hAnsi="Arial" w:cs="Arial"/>
        </w:rPr>
        <w:t xml:space="preserve">a youth should only be </w:t>
      </w:r>
      <w:r w:rsidR="00F9140A" w:rsidRPr="00C508C7">
        <w:rPr>
          <w:rFonts w:ascii="Arial" w:hAnsi="Arial" w:cs="Arial"/>
          <w:b/>
          <w:bCs/>
        </w:rPr>
        <w:t>kept</w:t>
      </w:r>
      <w:r w:rsidR="00F9140A" w:rsidRPr="00F9140A">
        <w:rPr>
          <w:rFonts w:ascii="Arial" w:hAnsi="Arial" w:cs="Arial"/>
        </w:rPr>
        <w:t xml:space="preserve"> in custody for an offence (whether on arrest, in remand or under sentence) as a last resort and for the shortest appropriate period of time</w:t>
      </w:r>
      <w:r w:rsidR="00F9140A">
        <w:rPr>
          <w:rFonts w:ascii="Arial" w:hAnsi="Arial" w:cs="Arial"/>
        </w:rPr>
        <w:t>”</w:t>
      </w:r>
      <w:r w:rsidR="00F9140A">
        <w:rPr>
          <w:rStyle w:val="FootnoteReference"/>
          <w:rFonts w:ascii="Arial" w:hAnsi="Arial" w:cs="Arial"/>
        </w:rPr>
        <w:footnoteReference w:id="19"/>
      </w:r>
      <w:r w:rsidR="00F9140A">
        <w:rPr>
          <w:rFonts w:ascii="Arial" w:hAnsi="Arial" w:cs="Arial"/>
        </w:rPr>
        <w:t xml:space="preserve">, </w:t>
      </w:r>
      <w:r w:rsidR="00C508C7">
        <w:rPr>
          <w:rFonts w:ascii="Arial" w:hAnsi="Arial" w:cs="Arial"/>
        </w:rPr>
        <w:t>it does not specifically apply at the time of arrest. F</w:t>
      </w:r>
      <w:r w:rsidR="00F9140A">
        <w:rPr>
          <w:rFonts w:ascii="Arial" w:hAnsi="Arial" w:cs="Arial"/>
        </w:rPr>
        <w:t>igures referred to below suggest arrest</w:t>
      </w:r>
      <w:r w:rsidR="00C508C7">
        <w:rPr>
          <w:rFonts w:ascii="Arial" w:hAnsi="Arial" w:cs="Arial"/>
        </w:rPr>
        <w:t>s of</w:t>
      </w:r>
      <w:r w:rsidR="00F9140A">
        <w:rPr>
          <w:rFonts w:ascii="Arial" w:hAnsi="Arial" w:cs="Arial"/>
        </w:rPr>
        <w:t xml:space="preserve"> youths</w:t>
      </w:r>
      <w:r w:rsidR="00C508C7">
        <w:rPr>
          <w:rFonts w:ascii="Arial" w:hAnsi="Arial" w:cs="Arial"/>
        </w:rPr>
        <w:t xml:space="preserve"> has dramatically increased in the last 12 months. I</w:t>
      </w:r>
      <w:r w:rsidR="00F9140A">
        <w:rPr>
          <w:rFonts w:ascii="Arial" w:hAnsi="Arial" w:cs="Arial"/>
        </w:rPr>
        <w:t xml:space="preserve">n our experience, </w:t>
      </w:r>
      <w:r w:rsidR="00C508C7">
        <w:rPr>
          <w:rFonts w:ascii="Arial" w:hAnsi="Arial" w:cs="Arial"/>
        </w:rPr>
        <w:t xml:space="preserve">s4(c) is having little to no impact </w:t>
      </w:r>
      <w:r w:rsidR="00F9140A">
        <w:rPr>
          <w:rFonts w:ascii="Arial" w:hAnsi="Arial" w:cs="Arial"/>
        </w:rPr>
        <w:t xml:space="preserve">on the time a youth is being kept in police custody, largely due to delays in </w:t>
      </w:r>
      <w:r w:rsidR="00C508C7">
        <w:rPr>
          <w:rFonts w:ascii="Arial" w:hAnsi="Arial" w:cs="Arial"/>
        </w:rPr>
        <w:t xml:space="preserve">the </w:t>
      </w:r>
      <w:r w:rsidR="00F9140A">
        <w:rPr>
          <w:rFonts w:ascii="Arial" w:hAnsi="Arial" w:cs="Arial"/>
        </w:rPr>
        <w:t xml:space="preserve">completion of </w:t>
      </w:r>
      <w:r w:rsidR="00C508C7">
        <w:rPr>
          <w:rFonts w:ascii="Arial" w:hAnsi="Arial" w:cs="Arial"/>
        </w:rPr>
        <w:t xml:space="preserve">police </w:t>
      </w:r>
      <w:r w:rsidR="00F9140A">
        <w:rPr>
          <w:rFonts w:ascii="Arial" w:hAnsi="Arial" w:cs="Arial"/>
        </w:rPr>
        <w:t>files</w:t>
      </w:r>
      <w:r w:rsidR="00C508C7">
        <w:rPr>
          <w:rFonts w:ascii="Arial" w:hAnsi="Arial" w:cs="Arial"/>
        </w:rPr>
        <w:t xml:space="preserve"> for charging</w:t>
      </w:r>
      <w:r w:rsidR="00F9140A">
        <w:rPr>
          <w:rFonts w:ascii="Arial" w:hAnsi="Arial" w:cs="Arial"/>
        </w:rPr>
        <w:t xml:space="preserve"> and difficulty in locating responsible adults for the youths.</w:t>
      </w:r>
      <w:r w:rsidR="00C508C7">
        <w:rPr>
          <w:rFonts w:ascii="Arial" w:hAnsi="Arial" w:cs="Arial"/>
        </w:rPr>
        <w:t xml:space="preserve"> </w:t>
      </w:r>
    </w:p>
    <w:p w14:paraId="14738EE9" w14:textId="77777777" w:rsidR="003F6F41" w:rsidRPr="00140250" w:rsidRDefault="003F6F41" w:rsidP="003F6F41">
      <w:pPr>
        <w:rPr>
          <w:rFonts w:ascii="Arial" w:hAnsi="Arial" w:cs="Arial"/>
        </w:rPr>
      </w:pPr>
    </w:p>
    <w:p w14:paraId="60A1158F" w14:textId="2330ACA4" w:rsidR="00487EAB" w:rsidRPr="00140250" w:rsidRDefault="00487EAB" w:rsidP="002B1EBB">
      <w:pPr>
        <w:pStyle w:val="ListParagraph"/>
        <w:numPr>
          <w:ilvl w:val="0"/>
          <w:numId w:val="6"/>
        </w:numPr>
        <w:rPr>
          <w:rFonts w:ascii="Arial" w:hAnsi="Arial" w:cs="Arial"/>
          <w:b/>
        </w:rPr>
      </w:pPr>
      <w:r w:rsidRPr="00140250">
        <w:rPr>
          <w:rFonts w:ascii="Arial" w:hAnsi="Arial" w:cs="Arial"/>
          <w:b/>
        </w:rPr>
        <w:t>Time stops</w:t>
      </w:r>
      <w:r w:rsidR="00586A89" w:rsidRPr="00140250">
        <w:rPr>
          <w:rFonts w:ascii="Arial" w:hAnsi="Arial" w:cs="Arial"/>
          <w:b/>
        </w:rPr>
        <w:t xml:space="preserve"> </w:t>
      </w:r>
    </w:p>
    <w:p w14:paraId="1D5BD0FE" w14:textId="77777777" w:rsidR="00624F13" w:rsidRPr="00140250" w:rsidRDefault="00624F13" w:rsidP="00624F13">
      <w:pPr>
        <w:pStyle w:val="ListParagraph"/>
        <w:rPr>
          <w:rFonts w:ascii="Arial" w:hAnsi="Arial" w:cs="Arial"/>
          <w:b/>
        </w:rPr>
      </w:pPr>
    </w:p>
    <w:p w14:paraId="24DCE26F" w14:textId="054FA35A" w:rsidR="00CA136B" w:rsidRDefault="00CA136B" w:rsidP="00D43E41">
      <w:pPr>
        <w:autoSpaceDE w:val="0"/>
        <w:autoSpaceDN w:val="0"/>
        <w:adjustRightInd w:val="0"/>
        <w:rPr>
          <w:rFonts w:ascii="Arial" w:hAnsi="Arial" w:cs="Arial"/>
        </w:rPr>
      </w:pPr>
      <w:r w:rsidRPr="00140250">
        <w:rPr>
          <w:rFonts w:ascii="Arial" w:eastAsia="Times New Roman" w:hAnsi="Arial" w:cs="Arial"/>
          <w:color w:val="202124"/>
          <w:lang w:eastAsia="en-AU"/>
        </w:rPr>
        <w:t>It has been theorised that time stands still in black holes</w:t>
      </w:r>
      <w:r w:rsidRPr="00140250">
        <w:rPr>
          <w:rStyle w:val="FootnoteReference"/>
          <w:rFonts w:ascii="Arial" w:eastAsia="Times New Roman" w:hAnsi="Arial" w:cs="Arial"/>
          <w:color w:val="202124"/>
          <w:lang w:eastAsia="en-AU"/>
        </w:rPr>
        <w:footnoteReference w:id="20"/>
      </w:r>
      <w:r w:rsidRPr="00140250">
        <w:rPr>
          <w:rFonts w:ascii="Arial" w:eastAsia="Times New Roman" w:hAnsi="Arial" w:cs="Arial"/>
          <w:color w:val="202124"/>
          <w:lang w:eastAsia="en-AU"/>
        </w:rPr>
        <w:t>.</w:t>
      </w:r>
    </w:p>
    <w:p w14:paraId="722EB7D7" w14:textId="77777777" w:rsidR="00CA136B" w:rsidRDefault="00CA136B" w:rsidP="00D43E41">
      <w:pPr>
        <w:autoSpaceDE w:val="0"/>
        <w:autoSpaceDN w:val="0"/>
        <w:adjustRightInd w:val="0"/>
        <w:rPr>
          <w:rFonts w:ascii="Arial" w:hAnsi="Arial" w:cs="Arial"/>
        </w:rPr>
      </w:pPr>
    </w:p>
    <w:p w14:paraId="1EC4E69E" w14:textId="227A43B0" w:rsidR="001A4839" w:rsidRPr="00140250" w:rsidRDefault="004C63D3" w:rsidP="00D43E41">
      <w:pPr>
        <w:autoSpaceDE w:val="0"/>
        <w:autoSpaceDN w:val="0"/>
        <w:adjustRightInd w:val="0"/>
        <w:rPr>
          <w:rFonts w:ascii="Arial" w:hAnsi="Arial" w:cs="Arial"/>
        </w:rPr>
      </w:pPr>
      <w:r w:rsidRPr="00140250">
        <w:rPr>
          <w:rFonts w:ascii="Arial" w:hAnsi="Arial" w:cs="Arial"/>
        </w:rPr>
        <w:t xml:space="preserve">The common law requires that an arrest must be carried out for the purpose of </w:t>
      </w:r>
      <w:r w:rsidR="001A4839" w:rsidRPr="00140250">
        <w:rPr>
          <w:rFonts w:ascii="Arial" w:hAnsi="Arial" w:cs="Arial"/>
        </w:rPr>
        <w:t xml:space="preserve">charging, if necessary, and </w:t>
      </w:r>
      <w:r w:rsidRPr="00140250">
        <w:rPr>
          <w:rFonts w:ascii="Arial" w:hAnsi="Arial" w:cs="Arial"/>
        </w:rPr>
        <w:t>taking</w:t>
      </w:r>
      <w:r w:rsidR="001A4839" w:rsidRPr="00140250">
        <w:rPr>
          <w:rFonts w:ascii="Arial" w:hAnsi="Arial" w:cs="Arial"/>
        </w:rPr>
        <w:t xml:space="preserve"> </w:t>
      </w:r>
      <w:r w:rsidRPr="00140250">
        <w:rPr>
          <w:rFonts w:ascii="Arial" w:hAnsi="Arial" w:cs="Arial"/>
        </w:rPr>
        <w:t>the person before a justice or court as soon as reasonably practicable.</w:t>
      </w:r>
      <w:r w:rsidR="001A4839" w:rsidRPr="00140250">
        <w:rPr>
          <w:rFonts w:ascii="Arial" w:hAnsi="Arial" w:cs="Arial"/>
        </w:rPr>
        <w:t xml:space="preserve"> It is not to enable further investigating and questioning</w:t>
      </w:r>
      <w:r w:rsidR="00A27656" w:rsidRPr="00140250">
        <w:rPr>
          <w:rStyle w:val="FootnoteReference"/>
          <w:rFonts w:ascii="Arial" w:hAnsi="Arial" w:cs="Arial"/>
        </w:rPr>
        <w:footnoteReference w:id="21"/>
      </w:r>
      <w:r w:rsidR="001A4839" w:rsidRPr="00140250">
        <w:rPr>
          <w:rFonts w:ascii="Arial" w:hAnsi="Arial" w:cs="Arial"/>
        </w:rPr>
        <w:t xml:space="preserve">. This fundamental principle </w:t>
      </w:r>
      <w:r w:rsidR="0008501A" w:rsidRPr="00140250">
        <w:rPr>
          <w:rFonts w:ascii="Arial" w:hAnsi="Arial" w:cs="Arial"/>
        </w:rPr>
        <w:t xml:space="preserve">was </w:t>
      </w:r>
      <w:r w:rsidR="001A4839" w:rsidRPr="00140250">
        <w:rPr>
          <w:rFonts w:ascii="Arial" w:hAnsi="Arial" w:cs="Arial"/>
        </w:rPr>
        <w:t xml:space="preserve">confirmed by the High </w:t>
      </w:r>
      <w:r w:rsidR="00AE4FE2" w:rsidRPr="00140250">
        <w:rPr>
          <w:rFonts w:ascii="Arial" w:hAnsi="Arial" w:cs="Arial"/>
        </w:rPr>
        <w:t>C</w:t>
      </w:r>
      <w:r w:rsidR="001A4839" w:rsidRPr="00140250">
        <w:rPr>
          <w:rFonts w:ascii="Arial" w:hAnsi="Arial" w:cs="Arial"/>
        </w:rPr>
        <w:t>ourt</w:t>
      </w:r>
      <w:r w:rsidR="00D43E41" w:rsidRPr="00140250">
        <w:rPr>
          <w:rFonts w:ascii="Arial" w:hAnsi="Arial" w:cs="Arial"/>
        </w:rPr>
        <w:t xml:space="preserve"> in 2019</w:t>
      </w:r>
      <w:r w:rsidR="00D43E41" w:rsidRPr="00140250">
        <w:rPr>
          <w:rStyle w:val="FootnoteReference"/>
          <w:rFonts w:ascii="Arial" w:hAnsi="Arial" w:cs="Arial"/>
        </w:rPr>
        <w:footnoteReference w:id="22"/>
      </w:r>
      <w:r w:rsidR="00D43E41" w:rsidRPr="00140250">
        <w:rPr>
          <w:rFonts w:ascii="Arial" w:hAnsi="Arial" w:cs="Arial"/>
        </w:rPr>
        <w:t xml:space="preserve">. </w:t>
      </w:r>
      <w:bookmarkStart w:id="6" w:name="_Hlk107326479"/>
      <w:r w:rsidR="00017B06" w:rsidRPr="00140250">
        <w:rPr>
          <w:rFonts w:ascii="Arial" w:hAnsi="Arial" w:cs="Arial"/>
        </w:rPr>
        <w:t>T</w:t>
      </w:r>
      <w:r w:rsidR="001A4839" w:rsidRPr="00140250">
        <w:rPr>
          <w:rFonts w:ascii="Arial" w:hAnsi="Arial" w:cs="Arial"/>
        </w:rPr>
        <w:t>he duty to take an arrested person before a Justice</w:t>
      </w:r>
      <w:r w:rsidR="00017B06" w:rsidRPr="00140250">
        <w:rPr>
          <w:rFonts w:ascii="Arial" w:hAnsi="Arial" w:cs="Arial"/>
        </w:rPr>
        <w:t xml:space="preserve"> as soon as reasonably practicable</w:t>
      </w:r>
      <w:bookmarkEnd w:id="6"/>
      <w:r w:rsidR="001A4839" w:rsidRPr="00140250">
        <w:rPr>
          <w:rFonts w:ascii="Arial" w:hAnsi="Arial" w:cs="Arial"/>
        </w:rPr>
        <w:t xml:space="preserve"> is so “that the law enforcement processes</w:t>
      </w:r>
      <w:r w:rsidR="00017B06" w:rsidRPr="00140250">
        <w:rPr>
          <w:rFonts w:ascii="Arial" w:hAnsi="Arial" w:cs="Arial"/>
        </w:rPr>
        <w:t xml:space="preserve"> …</w:t>
      </w:r>
      <w:r w:rsidR="001A4839" w:rsidRPr="00140250">
        <w:rPr>
          <w:rFonts w:ascii="Arial" w:hAnsi="Arial" w:cs="Arial"/>
        </w:rPr>
        <w:t xml:space="preserve"> be transferred as quickly as possible from the execu</w:t>
      </w:r>
      <w:r w:rsidR="0008501A" w:rsidRPr="00140250">
        <w:rPr>
          <w:rFonts w:ascii="Arial" w:hAnsi="Arial" w:cs="Arial"/>
        </w:rPr>
        <w:t xml:space="preserve">tive level to the objective and </w:t>
      </w:r>
      <w:r w:rsidR="001A4839" w:rsidRPr="00140250">
        <w:rPr>
          <w:rFonts w:ascii="Arial" w:hAnsi="Arial" w:cs="Arial"/>
        </w:rPr>
        <w:t>uncommitted judicial level”</w:t>
      </w:r>
      <w:r w:rsidR="001A4839" w:rsidRPr="00140250">
        <w:rPr>
          <w:rStyle w:val="FootnoteReference"/>
          <w:rFonts w:ascii="Arial" w:hAnsi="Arial" w:cs="Arial"/>
        </w:rPr>
        <w:footnoteReference w:id="23"/>
      </w:r>
      <w:r w:rsidR="00D43E41" w:rsidRPr="00140250">
        <w:rPr>
          <w:rFonts w:ascii="Arial" w:hAnsi="Arial" w:cs="Arial"/>
        </w:rPr>
        <w:t>. The principle has been eroded by the legislature in every jurisdiction in Australia, to enable police to arrest and detain for further investigation,</w:t>
      </w:r>
      <w:r w:rsidR="00B03FDF" w:rsidRPr="00140250">
        <w:rPr>
          <w:rFonts w:ascii="Arial" w:hAnsi="Arial" w:cs="Arial"/>
        </w:rPr>
        <w:t xml:space="preserve"> but</w:t>
      </w:r>
      <w:r w:rsidR="0008501A" w:rsidRPr="00140250">
        <w:rPr>
          <w:rFonts w:ascii="Arial" w:hAnsi="Arial" w:cs="Arial"/>
        </w:rPr>
        <w:t xml:space="preserve"> usually</w:t>
      </w:r>
      <w:r w:rsidR="00B03FDF" w:rsidRPr="00140250">
        <w:rPr>
          <w:rFonts w:ascii="Arial" w:hAnsi="Arial" w:cs="Arial"/>
        </w:rPr>
        <w:t xml:space="preserve">, as the High Court suggested in </w:t>
      </w:r>
      <w:r w:rsidR="00B03FDF" w:rsidRPr="00140250">
        <w:rPr>
          <w:rFonts w:ascii="Arial" w:hAnsi="Arial" w:cs="Arial"/>
          <w:i/>
        </w:rPr>
        <w:t>Williams</w:t>
      </w:r>
      <w:r w:rsidR="0008501A" w:rsidRPr="00140250">
        <w:rPr>
          <w:rFonts w:ascii="Arial" w:hAnsi="Arial" w:cs="Arial"/>
          <w:i/>
        </w:rPr>
        <w:t>,</w:t>
      </w:r>
      <w:r w:rsidR="00B03FDF" w:rsidRPr="00140250">
        <w:rPr>
          <w:rFonts w:ascii="Arial" w:hAnsi="Arial" w:cs="Arial"/>
          <w:i/>
        </w:rPr>
        <w:t xml:space="preserve"> </w:t>
      </w:r>
      <w:r w:rsidR="00B03FDF" w:rsidRPr="00140250">
        <w:rPr>
          <w:rFonts w:ascii="Arial" w:hAnsi="Arial" w:cs="Arial"/>
        </w:rPr>
        <w:t xml:space="preserve">with safeguards “which might ameliorate </w:t>
      </w:r>
      <w:r w:rsidR="00B03FDF" w:rsidRPr="00140250">
        <w:rPr>
          <w:rFonts w:ascii="Arial" w:hAnsi="Arial" w:cs="Arial"/>
        </w:rPr>
        <w:lastRenderedPageBreak/>
        <w:t>the risk of unconscionable pressure being applied to persons under interrogation while they are kept in custody”</w:t>
      </w:r>
      <w:r w:rsidR="00B03FDF" w:rsidRPr="00140250">
        <w:rPr>
          <w:rStyle w:val="FootnoteReference"/>
          <w:rFonts w:ascii="Arial" w:hAnsi="Arial" w:cs="Arial"/>
        </w:rPr>
        <w:footnoteReference w:id="24"/>
      </w:r>
      <w:r w:rsidR="00D43E41" w:rsidRPr="00140250">
        <w:rPr>
          <w:rFonts w:ascii="Arial" w:hAnsi="Arial" w:cs="Arial"/>
        </w:rPr>
        <w:t xml:space="preserve">. </w:t>
      </w:r>
      <w:r w:rsidR="00B932E4" w:rsidRPr="00140250">
        <w:rPr>
          <w:rFonts w:ascii="Arial" w:hAnsi="Arial" w:cs="Arial"/>
        </w:rPr>
        <w:t>The primary safeguard is</w:t>
      </w:r>
      <w:r w:rsidR="00017B06" w:rsidRPr="00140250">
        <w:rPr>
          <w:rFonts w:ascii="Arial" w:hAnsi="Arial" w:cs="Arial"/>
        </w:rPr>
        <w:t xml:space="preserve"> </w:t>
      </w:r>
      <w:r w:rsidR="00B663D8" w:rsidRPr="00140250">
        <w:rPr>
          <w:rFonts w:ascii="Arial" w:hAnsi="Arial" w:cs="Arial"/>
        </w:rPr>
        <w:t xml:space="preserve">to place a limit on the time a person can be held in custody for an investigation. </w:t>
      </w:r>
      <w:bookmarkStart w:id="7" w:name="_Hlk107326598"/>
      <w:r w:rsidR="00B663D8" w:rsidRPr="00140250">
        <w:rPr>
          <w:rFonts w:ascii="Arial" w:hAnsi="Arial" w:cs="Arial"/>
        </w:rPr>
        <w:t xml:space="preserve">Victoria, </w:t>
      </w:r>
      <w:proofErr w:type="gramStart"/>
      <w:r w:rsidR="00B663D8" w:rsidRPr="00140250">
        <w:rPr>
          <w:rFonts w:ascii="Arial" w:hAnsi="Arial" w:cs="Arial"/>
        </w:rPr>
        <w:t>Tasmania</w:t>
      </w:r>
      <w:proofErr w:type="gramEnd"/>
      <w:r w:rsidR="00B663D8" w:rsidRPr="00140250">
        <w:rPr>
          <w:rFonts w:ascii="Arial" w:hAnsi="Arial" w:cs="Arial"/>
        </w:rPr>
        <w:t xml:space="preserve"> and</w:t>
      </w:r>
      <w:r w:rsidR="0008501A" w:rsidRPr="00140250">
        <w:rPr>
          <w:rFonts w:ascii="Arial" w:hAnsi="Arial" w:cs="Arial"/>
        </w:rPr>
        <w:t xml:space="preserve"> the NT</w:t>
      </w:r>
      <w:r w:rsidR="001D374A" w:rsidRPr="00140250">
        <w:rPr>
          <w:rStyle w:val="FootnoteReference"/>
          <w:rFonts w:ascii="Arial" w:hAnsi="Arial" w:cs="Arial"/>
        </w:rPr>
        <w:footnoteReference w:id="25"/>
      </w:r>
      <w:r w:rsidR="00B663D8" w:rsidRPr="00140250">
        <w:rPr>
          <w:rFonts w:ascii="Arial" w:hAnsi="Arial" w:cs="Arial"/>
        </w:rPr>
        <w:t xml:space="preserve"> are the only places not to place any express time limit</w:t>
      </w:r>
      <w:r w:rsidR="00D43E41" w:rsidRPr="00140250">
        <w:rPr>
          <w:rFonts w:ascii="Arial" w:hAnsi="Arial" w:cs="Arial"/>
        </w:rPr>
        <w:t>.</w:t>
      </w:r>
      <w:bookmarkEnd w:id="7"/>
      <w:r w:rsidR="00D43E41" w:rsidRPr="00140250">
        <w:rPr>
          <w:rFonts w:ascii="Arial" w:hAnsi="Arial" w:cs="Arial"/>
        </w:rPr>
        <w:t xml:space="preserve"> </w:t>
      </w:r>
      <w:r w:rsidR="00B842FB" w:rsidRPr="00140250">
        <w:rPr>
          <w:rFonts w:ascii="Arial" w:hAnsi="Arial" w:cs="Arial"/>
        </w:rPr>
        <w:t>I</w:t>
      </w:r>
      <w:r w:rsidR="00D43E41" w:rsidRPr="00140250">
        <w:rPr>
          <w:rFonts w:ascii="Arial" w:hAnsi="Arial" w:cs="Arial"/>
        </w:rPr>
        <w:t xml:space="preserve">n New South Wales, police can only hold a person, </w:t>
      </w:r>
      <w:proofErr w:type="gramStart"/>
      <w:r w:rsidR="00D43E41" w:rsidRPr="00140250">
        <w:rPr>
          <w:rFonts w:ascii="Arial" w:hAnsi="Arial" w:cs="Arial"/>
        </w:rPr>
        <w:t>child</w:t>
      </w:r>
      <w:proofErr w:type="gramEnd"/>
      <w:r w:rsidR="00D43E41" w:rsidRPr="00140250">
        <w:rPr>
          <w:rFonts w:ascii="Arial" w:hAnsi="Arial" w:cs="Arial"/>
        </w:rPr>
        <w:t xml:space="preserve"> or adult, for a maximum of six hours without charge</w:t>
      </w:r>
      <w:r w:rsidR="00AE4FE2" w:rsidRPr="00140250">
        <w:rPr>
          <w:rFonts w:ascii="Arial" w:hAnsi="Arial" w:cs="Arial"/>
        </w:rPr>
        <w:t>,</w:t>
      </w:r>
      <w:r w:rsidR="00D43E41" w:rsidRPr="00140250">
        <w:rPr>
          <w:rFonts w:ascii="Arial" w:hAnsi="Arial" w:cs="Arial"/>
        </w:rPr>
        <w:t xml:space="preserve"> beginning from the time of arrest which can be ext</w:t>
      </w:r>
      <w:r w:rsidR="00B932E4" w:rsidRPr="00140250">
        <w:rPr>
          <w:rFonts w:ascii="Arial" w:hAnsi="Arial" w:cs="Arial"/>
        </w:rPr>
        <w:t xml:space="preserve">ended </w:t>
      </w:r>
      <w:r w:rsidR="00D43E41" w:rsidRPr="00140250">
        <w:rPr>
          <w:rFonts w:ascii="Arial" w:hAnsi="Arial" w:cs="Arial"/>
        </w:rPr>
        <w:t>once by an authorised officer</w:t>
      </w:r>
      <w:r w:rsidR="00B842FB" w:rsidRPr="00140250">
        <w:rPr>
          <w:rStyle w:val="FootnoteReference"/>
          <w:rFonts w:ascii="Arial" w:hAnsi="Arial" w:cs="Arial"/>
        </w:rPr>
        <w:footnoteReference w:id="26"/>
      </w:r>
      <w:r w:rsidR="00D43E41" w:rsidRPr="00140250">
        <w:rPr>
          <w:rFonts w:ascii="Arial" w:hAnsi="Arial" w:cs="Arial"/>
        </w:rPr>
        <w:t xml:space="preserve">. In South Australia, </w:t>
      </w:r>
      <w:r w:rsidR="00B932E4" w:rsidRPr="00140250">
        <w:rPr>
          <w:rFonts w:ascii="Arial" w:hAnsi="Arial" w:cs="Arial"/>
        </w:rPr>
        <w:t xml:space="preserve">both adults and children can be </w:t>
      </w:r>
      <w:r w:rsidR="00D43E41" w:rsidRPr="00140250">
        <w:rPr>
          <w:rFonts w:ascii="Arial" w:hAnsi="Arial" w:cs="Arial"/>
        </w:rPr>
        <w:t>held for up to four hours unless police get an extens</w:t>
      </w:r>
      <w:r w:rsidR="00B842FB" w:rsidRPr="00140250">
        <w:rPr>
          <w:rFonts w:ascii="Arial" w:hAnsi="Arial" w:cs="Arial"/>
        </w:rPr>
        <w:t xml:space="preserve">ion of up to eight hours from a </w:t>
      </w:r>
      <w:r w:rsidR="00D43E41" w:rsidRPr="00140250">
        <w:rPr>
          <w:rFonts w:ascii="Arial" w:hAnsi="Arial" w:cs="Arial"/>
        </w:rPr>
        <w:t>magistrate or judge</w:t>
      </w:r>
      <w:r w:rsidR="002D6BC6" w:rsidRPr="00140250">
        <w:rPr>
          <w:rStyle w:val="FootnoteReference"/>
          <w:rFonts w:ascii="Arial" w:hAnsi="Arial" w:cs="Arial"/>
        </w:rPr>
        <w:footnoteReference w:id="27"/>
      </w:r>
      <w:r w:rsidR="00D43E41" w:rsidRPr="00140250">
        <w:rPr>
          <w:rFonts w:ascii="Arial" w:hAnsi="Arial" w:cs="Arial"/>
        </w:rPr>
        <w:t>. In Queensland, a police officer can detain children and adult</w:t>
      </w:r>
      <w:r w:rsidR="00B842FB" w:rsidRPr="00140250">
        <w:rPr>
          <w:rFonts w:ascii="Arial" w:hAnsi="Arial" w:cs="Arial"/>
        </w:rPr>
        <w:t xml:space="preserve">s </w:t>
      </w:r>
      <w:r w:rsidR="00D43E41" w:rsidRPr="00140250">
        <w:rPr>
          <w:rFonts w:ascii="Arial" w:hAnsi="Arial" w:cs="Arial"/>
        </w:rPr>
        <w:t xml:space="preserve">for a </w:t>
      </w:r>
      <w:r w:rsidR="00AE4FE2" w:rsidRPr="00140250">
        <w:rPr>
          <w:rFonts w:ascii="Arial" w:hAnsi="Arial" w:cs="Arial"/>
        </w:rPr>
        <w:t>‘</w:t>
      </w:r>
      <w:r w:rsidR="00D43E41" w:rsidRPr="00140250">
        <w:rPr>
          <w:rFonts w:ascii="Arial" w:hAnsi="Arial" w:cs="Arial"/>
        </w:rPr>
        <w:t>reasonable</w:t>
      </w:r>
      <w:r w:rsidR="00AE4FE2" w:rsidRPr="00140250">
        <w:rPr>
          <w:rFonts w:ascii="Arial" w:hAnsi="Arial" w:cs="Arial"/>
        </w:rPr>
        <w:t>’</w:t>
      </w:r>
      <w:r w:rsidR="00D43E41" w:rsidRPr="00140250">
        <w:rPr>
          <w:rFonts w:ascii="Arial" w:hAnsi="Arial" w:cs="Arial"/>
        </w:rPr>
        <w:t xml:space="preserve"> time for investigation or questioning not exceeding eig</w:t>
      </w:r>
      <w:r w:rsidR="00B932E4" w:rsidRPr="00140250">
        <w:rPr>
          <w:rFonts w:ascii="Arial" w:hAnsi="Arial" w:cs="Arial"/>
        </w:rPr>
        <w:t xml:space="preserve">ht hours. A judge or magistrate </w:t>
      </w:r>
      <w:r w:rsidR="00D43E41" w:rsidRPr="00140250">
        <w:rPr>
          <w:rFonts w:ascii="Arial" w:hAnsi="Arial" w:cs="Arial"/>
        </w:rPr>
        <w:t xml:space="preserve">can grant an extension of the custody period for a </w:t>
      </w:r>
      <w:r w:rsidR="00B932E4" w:rsidRPr="00140250">
        <w:rPr>
          <w:rFonts w:ascii="Arial" w:hAnsi="Arial" w:cs="Arial"/>
        </w:rPr>
        <w:t xml:space="preserve">reasonable time of no more than </w:t>
      </w:r>
      <w:r w:rsidR="00D43E41" w:rsidRPr="00140250">
        <w:rPr>
          <w:rFonts w:ascii="Arial" w:hAnsi="Arial" w:cs="Arial"/>
        </w:rPr>
        <w:t>eight hours</w:t>
      </w:r>
      <w:r w:rsidR="0008501A" w:rsidRPr="00140250">
        <w:rPr>
          <w:rStyle w:val="FootnoteReference"/>
          <w:rFonts w:ascii="Arial" w:hAnsi="Arial" w:cs="Arial"/>
        </w:rPr>
        <w:footnoteReference w:id="28"/>
      </w:r>
      <w:r w:rsidR="00D43E41" w:rsidRPr="00140250">
        <w:rPr>
          <w:rFonts w:ascii="Arial" w:hAnsi="Arial" w:cs="Arial"/>
        </w:rPr>
        <w:t xml:space="preserve">. For a Commonwealth offence other </w:t>
      </w:r>
      <w:r w:rsidR="00B932E4" w:rsidRPr="00140250">
        <w:rPr>
          <w:rFonts w:ascii="Arial" w:hAnsi="Arial" w:cs="Arial"/>
        </w:rPr>
        <w:t xml:space="preserve">than terrorism, a person who is </w:t>
      </w:r>
      <w:r w:rsidR="00D43E41" w:rsidRPr="00140250">
        <w:rPr>
          <w:rFonts w:ascii="Arial" w:hAnsi="Arial" w:cs="Arial"/>
        </w:rPr>
        <w:t>Aboriginal or appears to be under 18 cannot be held for longer than two hours</w:t>
      </w:r>
      <w:r w:rsidR="00C064AD">
        <w:rPr>
          <w:rFonts w:ascii="Arial" w:hAnsi="Arial" w:cs="Arial"/>
        </w:rPr>
        <w:t xml:space="preserve"> unless granted an extension by a Judge</w:t>
      </w:r>
      <w:r w:rsidR="00C064AD">
        <w:rPr>
          <w:rStyle w:val="FootnoteReference"/>
          <w:rFonts w:ascii="Arial" w:hAnsi="Arial" w:cs="Arial"/>
        </w:rPr>
        <w:footnoteReference w:id="29"/>
      </w:r>
      <w:r w:rsidR="00D43E41" w:rsidRPr="00140250">
        <w:rPr>
          <w:rFonts w:ascii="Arial" w:hAnsi="Arial" w:cs="Arial"/>
        </w:rPr>
        <w:t>.</w:t>
      </w:r>
      <w:r w:rsidR="006877B0" w:rsidRPr="00140250">
        <w:rPr>
          <w:rFonts w:ascii="Arial" w:hAnsi="Arial" w:cs="Arial"/>
        </w:rPr>
        <w:t xml:space="preserve"> In Western Australia, the period is 6 hours unless authorised </w:t>
      </w:r>
      <w:r w:rsidR="00AE3DEF">
        <w:rPr>
          <w:rFonts w:ascii="Arial" w:hAnsi="Arial" w:cs="Arial"/>
        </w:rPr>
        <w:t>by</w:t>
      </w:r>
      <w:r w:rsidR="006877B0" w:rsidRPr="00140250">
        <w:rPr>
          <w:rFonts w:ascii="Arial" w:hAnsi="Arial" w:cs="Arial"/>
        </w:rPr>
        <w:t xml:space="preserve"> a senior officer, and 12 hours unless authorised by a Magistrate</w:t>
      </w:r>
      <w:r w:rsidR="006877B0" w:rsidRPr="00140250">
        <w:rPr>
          <w:rStyle w:val="FootnoteReference"/>
          <w:rFonts w:ascii="Arial" w:hAnsi="Arial" w:cs="Arial"/>
        </w:rPr>
        <w:footnoteReference w:id="30"/>
      </w:r>
      <w:r w:rsidR="006877B0" w:rsidRPr="00140250">
        <w:rPr>
          <w:rFonts w:ascii="Arial" w:hAnsi="Arial" w:cs="Arial"/>
        </w:rPr>
        <w:t xml:space="preserve">. </w:t>
      </w:r>
      <w:r w:rsidR="0008501A" w:rsidRPr="00140250">
        <w:rPr>
          <w:rFonts w:ascii="Arial" w:hAnsi="Arial" w:cs="Arial"/>
        </w:rPr>
        <w:t xml:space="preserve"> </w:t>
      </w:r>
    </w:p>
    <w:p w14:paraId="02D002CF" w14:textId="77777777" w:rsidR="0008501A" w:rsidRPr="00140250" w:rsidRDefault="0008501A" w:rsidP="00D43E41">
      <w:pPr>
        <w:autoSpaceDE w:val="0"/>
        <w:autoSpaceDN w:val="0"/>
        <w:adjustRightInd w:val="0"/>
        <w:rPr>
          <w:rFonts w:ascii="Arial" w:hAnsi="Arial" w:cs="Arial"/>
        </w:rPr>
      </w:pPr>
    </w:p>
    <w:p w14:paraId="010876A6" w14:textId="517C2227" w:rsidR="0008501A" w:rsidRPr="00140250" w:rsidRDefault="0008501A" w:rsidP="00D43E41">
      <w:pPr>
        <w:autoSpaceDE w:val="0"/>
        <w:autoSpaceDN w:val="0"/>
        <w:adjustRightInd w:val="0"/>
        <w:rPr>
          <w:rFonts w:ascii="Arial" w:hAnsi="Arial" w:cs="Arial"/>
        </w:rPr>
      </w:pPr>
      <w:r w:rsidRPr="00140250">
        <w:rPr>
          <w:rFonts w:ascii="Arial" w:hAnsi="Arial" w:cs="Arial"/>
        </w:rPr>
        <w:t xml:space="preserve">In response to </w:t>
      </w:r>
      <w:r w:rsidR="00017B06" w:rsidRPr="00140250">
        <w:rPr>
          <w:rFonts w:ascii="Arial" w:hAnsi="Arial" w:cs="Arial"/>
        </w:rPr>
        <w:t xml:space="preserve">the </w:t>
      </w:r>
      <w:r w:rsidR="008B5059" w:rsidRPr="00140250">
        <w:rPr>
          <w:rFonts w:ascii="Arial" w:hAnsi="Arial" w:cs="Arial"/>
        </w:rPr>
        <w:t>finding</w:t>
      </w:r>
      <w:r w:rsidRPr="00140250">
        <w:rPr>
          <w:rFonts w:ascii="Arial" w:hAnsi="Arial" w:cs="Arial"/>
        </w:rPr>
        <w:t xml:space="preserve"> by the </w:t>
      </w:r>
      <w:r w:rsidR="008B5059" w:rsidRPr="00140250">
        <w:rPr>
          <w:rFonts w:ascii="Arial" w:hAnsi="Arial" w:cs="Arial"/>
        </w:rPr>
        <w:t xml:space="preserve">2018 </w:t>
      </w:r>
      <w:r w:rsidRPr="00140250">
        <w:rPr>
          <w:rFonts w:ascii="Arial" w:hAnsi="Arial" w:cs="Arial"/>
        </w:rPr>
        <w:t xml:space="preserve">Royal Commission into Youth Detention and Child Protection that </w:t>
      </w:r>
      <w:r w:rsidR="008B5059" w:rsidRPr="00140250">
        <w:rPr>
          <w:rFonts w:ascii="Arial" w:hAnsi="Arial" w:cs="Arial"/>
        </w:rPr>
        <w:t>youths were being kept in police custody at the Watch House “for unreasonably long periods of time”</w:t>
      </w:r>
      <w:r w:rsidR="008B5059" w:rsidRPr="00140250">
        <w:rPr>
          <w:rStyle w:val="FootnoteReference"/>
          <w:rFonts w:ascii="Arial" w:hAnsi="Arial" w:cs="Arial"/>
        </w:rPr>
        <w:footnoteReference w:id="31"/>
      </w:r>
      <w:r w:rsidR="008B5059" w:rsidRPr="00140250">
        <w:rPr>
          <w:rFonts w:ascii="Arial" w:hAnsi="Arial" w:cs="Arial"/>
        </w:rPr>
        <w:t xml:space="preserve"> and </w:t>
      </w:r>
      <w:r w:rsidR="00017B06" w:rsidRPr="00140250">
        <w:rPr>
          <w:rFonts w:ascii="Arial" w:hAnsi="Arial" w:cs="Arial"/>
        </w:rPr>
        <w:t xml:space="preserve">the </w:t>
      </w:r>
      <w:r w:rsidR="008B5059" w:rsidRPr="00140250">
        <w:rPr>
          <w:rFonts w:ascii="Arial" w:hAnsi="Arial" w:cs="Arial"/>
        </w:rPr>
        <w:t>recommendation that the law be amended to impose a time limit of 4 hours unless a further extension of four hours be authorised by a Judge</w:t>
      </w:r>
      <w:r w:rsidR="008B5059" w:rsidRPr="00140250">
        <w:rPr>
          <w:rStyle w:val="FootnoteReference"/>
          <w:rFonts w:ascii="Arial" w:hAnsi="Arial" w:cs="Arial"/>
        </w:rPr>
        <w:footnoteReference w:id="32"/>
      </w:r>
      <w:r w:rsidR="008B5059" w:rsidRPr="00140250">
        <w:rPr>
          <w:rFonts w:ascii="Arial" w:hAnsi="Arial" w:cs="Arial"/>
        </w:rPr>
        <w:t>, the N</w:t>
      </w:r>
      <w:r w:rsidR="00017B06" w:rsidRPr="00140250">
        <w:rPr>
          <w:rFonts w:ascii="Arial" w:hAnsi="Arial" w:cs="Arial"/>
        </w:rPr>
        <w:t>T</w:t>
      </w:r>
      <w:r w:rsidR="008B5059" w:rsidRPr="00140250">
        <w:rPr>
          <w:rFonts w:ascii="Arial" w:hAnsi="Arial" w:cs="Arial"/>
        </w:rPr>
        <w:t xml:space="preserve"> legislated to permit a youth to be det</w:t>
      </w:r>
      <w:r w:rsidR="00490E43" w:rsidRPr="00140250">
        <w:rPr>
          <w:rFonts w:ascii="Arial" w:hAnsi="Arial" w:cs="Arial"/>
        </w:rPr>
        <w:t>ained</w:t>
      </w:r>
      <w:r w:rsidR="008B5059" w:rsidRPr="00140250">
        <w:rPr>
          <w:rFonts w:ascii="Arial" w:hAnsi="Arial" w:cs="Arial"/>
        </w:rPr>
        <w:t xml:space="preserve"> for up to 24 hours by police and for further periods of 4 hours as authorised by a Judge</w:t>
      </w:r>
      <w:r w:rsidR="008B5059" w:rsidRPr="00140250">
        <w:rPr>
          <w:rStyle w:val="FootnoteReference"/>
          <w:rFonts w:ascii="Arial" w:hAnsi="Arial" w:cs="Arial"/>
        </w:rPr>
        <w:footnoteReference w:id="33"/>
      </w:r>
      <w:r w:rsidR="008B5059" w:rsidRPr="00140250">
        <w:rPr>
          <w:rFonts w:ascii="Arial" w:hAnsi="Arial" w:cs="Arial"/>
        </w:rPr>
        <w:t xml:space="preserve">. </w:t>
      </w:r>
    </w:p>
    <w:p w14:paraId="359DE74E" w14:textId="77777777" w:rsidR="00586A89" w:rsidRPr="00140250" w:rsidRDefault="00586A89" w:rsidP="00586A89">
      <w:pPr>
        <w:rPr>
          <w:rFonts w:ascii="Arial" w:hAnsi="Arial" w:cs="Arial"/>
          <w:b/>
        </w:rPr>
      </w:pPr>
    </w:p>
    <w:p w14:paraId="3378C10D" w14:textId="22AA7129" w:rsidR="00586A89" w:rsidRPr="00140250" w:rsidRDefault="00AE4FE2" w:rsidP="00AE4FE2">
      <w:pPr>
        <w:pStyle w:val="ListParagraph"/>
        <w:numPr>
          <w:ilvl w:val="0"/>
          <w:numId w:val="6"/>
        </w:numPr>
        <w:rPr>
          <w:rFonts w:ascii="Arial" w:hAnsi="Arial" w:cs="Arial"/>
          <w:b/>
        </w:rPr>
      </w:pPr>
      <w:r w:rsidRPr="00140250">
        <w:rPr>
          <w:rFonts w:ascii="Arial" w:hAnsi="Arial" w:cs="Arial"/>
          <w:b/>
        </w:rPr>
        <w:t>There is no escape</w:t>
      </w:r>
    </w:p>
    <w:p w14:paraId="3A92DFF9" w14:textId="77777777" w:rsidR="00586A89" w:rsidRPr="00140250" w:rsidRDefault="00586A89" w:rsidP="00586A89">
      <w:pPr>
        <w:rPr>
          <w:rFonts w:ascii="Arial" w:hAnsi="Arial" w:cs="Arial"/>
        </w:rPr>
      </w:pPr>
    </w:p>
    <w:p w14:paraId="4A06F7BA" w14:textId="210A1A64" w:rsidR="00C11DFF" w:rsidRPr="00140250" w:rsidRDefault="00C11DFF" w:rsidP="00586A89">
      <w:pPr>
        <w:rPr>
          <w:rFonts w:ascii="Arial" w:hAnsi="Arial" w:cs="Arial"/>
        </w:rPr>
      </w:pPr>
      <w:r w:rsidRPr="00140250">
        <w:rPr>
          <w:rFonts w:ascii="Arial" w:hAnsi="Arial" w:cs="Arial"/>
        </w:rPr>
        <w:t>According to NASA, once you enter a black hole you won’t be seen again</w:t>
      </w:r>
      <w:r w:rsidRPr="00140250">
        <w:rPr>
          <w:rStyle w:val="FootnoteReference"/>
          <w:rFonts w:ascii="Arial" w:hAnsi="Arial" w:cs="Arial"/>
        </w:rPr>
        <w:footnoteReference w:id="34"/>
      </w:r>
      <w:r w:rsidRPr="00140250">
        <w:rPr>
          <w:rFonts w:ascii="Arial" w:hAnsi="Arial" w:cs="Arial"/>
        </w:rPr>
        <w:t xml:space="preserve">. </w:t>
      </w:r>
    </w:p>
    <w:p w14:paraId="0F25895B" w14:textId="77777777" w:rsidR="00C11DFF" w:rsidRPr="00140250" w:rsidRDefault="00C11DFF" w:rsidP="00586A89">
      <w:pPr>
        <w:rPr>
          <w:rFonts w:ascii="Arial" w:hAnsi="Arial" w:cs="Arial"/>
        </w:rPr>
      </w:pPr>
    </w:p>
    <w:p w14:paraId="2FA71B8A" w14:textId="17CCF45B" w:rsidR="00586A89" w:rsidRPr="00140250" w:rsidRDefault="00586A89" w:rsidP="00586A89">
      <w:pPr>
        <w:rPr>
          <w:rFonts w:ascii="Arial" w:hAnsi="Arial" w:cs="Arial"/>
        </w:rPr>
      </w:pPr>
      <w:r w:rsidRPr="00140250">
        <w:rPr>
          <w:rFonts w:ascii="Arial" w:hAnsi="Arial" w:cs="Arial"/>
        </w:rPr>
        <w:t xml:space="preserve">Like most jurisdictions, the Bail Act has become the political ‘plaything’ of the government, a lever to pull when it needs to appear tough on crime. A lever that only travels in one direction. This </w:t>
      </w:r>
      <w:r w:rsidR="003F1AB2">
        <w:rPr>
          <w:rFonts w:ascii="Arial" w:hAnsi="Arial" w:cs="Arial"/>
        </w:rPr>
        <w:t>knee-jerk</w:t>
      </w:r>
      <w:r w:rsidRPr="00140250">
        <w:rPr>
          <w:rFonts w:ascii="Arial" w:hAnsi="Arial" w:cs="Arial"/>
        </w:rPr>
        <w:t xml:space="preserve"> response to the politics of the moment was most starkly on display in May last year when the NT government, ignoring the findings of the 201</w:t>
      </w:r>
      <w:r w:rsidR="0027263D">
        <w:rPr>
          <w:rFonts w:ascii="Arial" w:hAnsi="Arial" w:cs="Arial"/>
        </w:rPr>
        <w:t>7</w:t>
      </w:r>
      <w:r w:rsidRPr="00140250">
        <w:rPr>
          <w:rFonts w:ascii="Arial" w:hAnsi="Arial" w:cs="Arial"/>
        </w:rPr>
        <w:t xml:space="preserve"> Royal Commission into Youth Detention and Child Protection</w:t>
      </w:r>
      <w:r w:rsidR="0027263D">
        <w:rPr>
          <w:rStyle w:val="FootnoteReference"/>
          <w:rFonts w:ascii="Arial" w:hAnsi="Arial" w:cs="Arial"/>
        </w:rPr>
        <w:footnoteReference w:id="35"/>
      </w:r>
      <w:r w:rsidRPr="00140250">
        <w:rPr>
          <w:rFonts w:ascii="Arial" w:hAnsi="Arial" w:cs="Arial"/>
        </w:rPr>
        <w:t xml:space="preserve"> and the views of a united NGO</w:t>
      </w:r>
      <w:r w:rsidRPr="00140250">
        <w:rPr>
          <w:rStyle w:val="FootnoteReference"/>
          <w:rFonts w:ascii="Arial" w:hAnsi="Arial" w:cs="Arial"/>
        </w:rPr>
        <w:footnoteReference w:id="36"/>
      </w:r>
      <w:r w:rsidRPr="00140250">
        <w:rPr>
          <w:rFonts w:ascii="Arial" w:hAnsi="Arial" w:cs="Arial"/>
        </w:rPr>
        <w:t xml:space="preserve"> and legal sector</w:t>
      </w:r>
      <w:r w:rsidR="0027263D">
        <w:rPr>
          <w:rFonts w:ascii="Arial" w:hAnsi="Arial" w:cs="Arial"/>
        </w:rPr>
        <w:t>,</w:t>
      </w:r>
      <w:r w:rsidRPr="00140250">
        <w:rPr>
          <w:rFonts w:ascii="Arial" w:hAnsi="Arial" w:cs="Arial"/>
        </w:rPr>
        <w:t xml:space="preserve"> legislated to make it harder for youths to get bail than for adults</w:t>
      </w:r>
      <w:r w:rsidR="0027263D" w:rsidRPr="00140250">
        <w:rPr>
          <w:rStyle w:val="FootnoteReference"/>
          <w:rFonts w:ascii="Arial" w:hAnsi="Arial" w:cs="Arial"/>
        </w:rPr>
        <w:footnoteReference w:id="37"/>
      </w:r>
      <w:r w:rsidRPr="00140250">
        <w:rPr>
          <w:rFonts w:ascii="Arial" w:hAnsi="Arial" w:cs="Arial"/>
        </w:rPr>
        <w:t xml:space="preserve">. </w:t>
      </w:r>
      <w:r w:rsidR="00AE4FE2" w:rsidRPr="00140250">
        <w:rPr>
          <w:rFonts w:ascii="Arial" w:hAnsi="Arial" w:cs="Arial"/>
        </w:rPr>
        <w:t>The amended Youth Justice Act now</w:t>
      </w:r>
      <w:r w:rsidRPr="00140250">
        <w:rPr>
          <w:rFonts w:ascii="Arial" w:hAnsi="Arial" w:cs="Arial"/>
        </w:rPr>
        <w:t xml:space="preserve"> requires police to oppose bail for pretty much any offence committed by a youth</w:t>
      </w:r>
      <w:r w:rsidRPr="00140250">
        <w:rPr>
          <w:rStyle w:val="FootnoteReference"/>
          <w:rFonts w:ascii="Arial" w:hAnsi="Arial" w:cs="Arial"/>
        </w:rPr>
        <w:footnoteReference w:id="38"/>
      </w:r>
      <w:r w:rsidRPr="00140250">
        <w:rPr>
          <w:rFonts w:ascii="Arial" w:hAnsi="Arial" w:cs="Arial"/>
        </w:rPr>
        <w:t xml:space="preserve">, regardless of their criminal history (or absence of one), their age, or any other relevant subjective or objective consideration. If the youth is on bail at the time of </w:t>
      </w:r>
      <w:r w:rsidRPr="00140250">
        <w:rPr>
          <w:rFonts w:ascii="Arial" w:hAnsi="Arial" w:cs="Arial"/>
        </w:rPr>
        <w:lastRenderedPageBreak/>
        <w:t>committing the offence, or if they breach certain conditions of their bail</w:t>
      </w:r>
      <w:r w:rsidR="00473F00" w:rsidRPr="00140250">
        <w:rPr>
          <w:rFonts w:ascii="Arial" w:hAnsi="Arial" w:cs="Arial"/>
        </w:rPr>
        <w:t xml:space="preserve"> where the breach is not trivial or technical</w:t>
      </w:r>
      <w:r w:rsidRPr="00140250">
        <w:rPr>
          <w:rFonts w:ascii="Arial" w:hAnsi="Arial" w:cs="Arial"/>
        </w:rPr>
        <w:t>,</w:t>
      </w:r>
      <w:r w:rsidR="00473F00" w:rsidRPr="00140250">
        <w:rPr>
          <w:rFonts w:ascii="Arial" w:hAnsi="Arial" w:cs="Arial"/>
        </w:rPr>
        <w:t xml:space="preserve"> </w:t>
      </w:r>
      <w:r w:rsidRPr="00140250">
        <w:rPr>
          <w:rFonts w:ascii="Arial" w:hAnsi="Arial" w:cs="Arial"/>
        </w:rPr>
        <w:t xml:space="preserve">they are not granted bail unless fitted with </w:t>
      </w:r>
      <w:r w:rsidR="00473F00" w:rsidRPr="00140250">
        <w:rPr>
          <w:rFonts w:ascii="Arial" w:hAnsi="Arial" w:cs="Arial"/>
        </w:rPr>
        <w:t xml:space="preserve">an </w:t>
      </w:r>
      <w:r w:rsidRPr="00140250">
        <w:rPr>
          <w:rFonts w:ascii="Arial" w:hAnsi="Arial" w:cs="Arial"/>
        </w:rPr>
        <w:t>electronic monitoring</w:t>
      </w:r>
      <w:r w:rsidR="00473F00" w:rsidRPr="00140250">
        <w:rPr>
          <w:rFonts w:ascii="Arial" w:hAnsi="Arial" w:cs="Arial"/>
        </w:rPr>
        <w:t xml:space="preserve"> device</w:t>
      </w:r>
      <w:r w:rsidRPr="00140250">
        <w:rPr>
          <w:rFonts w:ascii="Arial" w:hAnsi="Arial" w:cs="Arial"/>
        </w:rPr>
        <w:t xml:space="preserve"> (the modern day ball and chain) and unless they reside at a secure bail supported accommodation which is only available in two locations in the NT and doesn’t take females, or unless exceptional circumstances apply</w:t>
      </w:r>
      <w:r w:rsidRPr="00140250">
        <w:rPr>
          <w:rStyle w:val="FootnoteReference"/>
          <w:rFonts w:ascii="Arial" w:hAnsi="Arial" w:cs="Arial"/>
        </w:rPr>
        <w:footnoteReference w:id="39"/>
      </w:r>
      <w:r w:rsidRPr="00140250">
        <w:rPr>
          <w:rFonts w:ascii="Arial" w:hAnsi="Arial" w:cs="Arial"/>
        </w:rPr>
        <w:t xml:space="preserve">.  </w:t>
      </w:r>
    </w:p>
    <w:p w14:paraId="38D84CEF" w14:textId="77777777" w:rsidR="00586A89" w:rsidRPr="00140250" w:rsidRDefault="00586A89" w:rsidP="00586A89">
      <w:pPr>
        <w:rPr>
          <w:rFonts w:ascii="Arial" w:hAnsi="Arial" w:cs="Arial"/>
        </w:rPr>
      </w:pPr>
    </w:p>
    <w:p w14:paraId="5D0C3175" w14:textId="183E8062" w:rsidR="00586A89" w:rsidRPr="00140250" w:rsidRDefault="00586A89" w:rsidP="00586A89">
      <w:pPr>
        <w:rPr>
          <w:rFonts w:ascii="Arial" w:hAnsi="Arial" w:cs="Arial"/>
        </w:rPr>
      </w:pPr>
      <w:bookmarkStart w:id="8" w:name="_Hlk107328923"/>
      <w:r w:rsidRPr="00140250">
        <w:rPr>
          <w:rFonts w:ascii="Arial" w:hAnsi="Arial" w:cs="Arial"/>
        </w:rPr>
        <w:t xml:space="preserve">It must be said that there is some judicial oversight of </w:t>
      </w:r>
      <w:r w:rsidR="003F1AB2">
        <w:rPr>
          <w:rFonts w:ascii="Arial" w:hAnsi="Arial" w:cs="Arial"/>
        </w:rPr>
        <w:t xml:space="preserve">police </w:t>
      </w:r>
      <w:r w:rsidR="00473F00" w:rsidRPr="00140250">
        <w:rPr>
          <w:rFonts w:ascii="Arial" w:hAnsi="Arial" w:cs="Arial"/>
        </w:rPr>
        <w:t xml:space="preserve">refusal of </w:t>
      </w:r>
      <w:r w:rsidRPr="00140250">
        <w:rPr>
          <w:rFonts w:ascii="Arial" w:hAnsi="Arial" w:cs="Arial"/>
        </w:rPr>
        <w:t xml:space="preserve">bail in the Northern Territory. Called a ‘bail review’ it is convened by a </w:t>
      </w:r>
      <w:r w:rsidR="0027263D">
        <w:rPr>
          <w:rFonts w:ascii="Arial" w:hAnsi="Arial" w:cs="Arial"/>
        </w:rPr>
        <w:t>p</w:t>
      </w:r>
      <w:r w:rsidRPr="00140250">
        <w:rPr>
          <w:rFonts w:ascii="Arial" w:hAnsi="Arial" w:cs="Arial"/>
        </w:rPr>
        <w:t>olice Sergeant</w:t>
      </w:r>
      <w:r w:rsidR="003F1AB2">
        <w:rPr>
          <w:rFonts w:ascii="Arial" w:hAnsi="Arial" w:cs="Arial"/>
        </w:rPr>
        <w:t xml:space="preserve"> and </w:t>
      </w:r>
      <w:r w:rsidR="0030575F">
        <w:rPr>
          <w:rFonts w:ascii="Arial" w:hAnsi="Arial" w:cs="Arial"/>
        </w:rPr>
        <w:t xml:space="preserve">presided over by a Local Court Judge </w:t>
      </w:r>
      <w:r w:rsidR="0030575F" w:rsidRPr="00140250">
        <w:rPr>
          <w:rFonts w:ascii="Arial" w:hAnsi="Arial" w:cs="Arial"/>
        </w:rPr>
        <w:t>who is required by legislation to hear from the applicant</w:t>
      </w:r>
      <w:r w:rsidR="0030575F" w:rsidRPr="00140250">
        <w:rPr>
          <w:rStyle w:val="FootnoteReference"/>
          <w:rFonts w:ascii="Arial" w:hAnsi="Arial" w:cs="Arial"/>
        </w:rPr>
        <w:footnoteReference w:id="40"/>
      </w:r>
      <w:r w:rsidR="0030575F" w:rsidRPr="00140250">
        <w:rPr>
          <w:rFonts w:ascii="Arial" w:hAnsi="Arial" w:cs="Arial"/>
        </w:rPr>
        <w:t xml:space="preserve"> and to </w:t>
      </w:r>
      <w:proofErr w:type="gramStart"/>
      <w:r w:rsidR="0030575F" w:rsidRPr="00140250">
        <w:rPr>
          <w:rFonts w:ascii="Arial" w:hAnsi="Arial" w:cs="Arial"/>
        </w:rPr>
        <w:t>take into account</w:t>
      </w:r>
      <w:proofErr w:type="gramEnd"/>
      <w:r w:rsidR="0030575F" w:rsidRPr="00140250">
        <w:rPr>
          <w:rFonts w:ascii="Arial" w:hAnsi="Arial" w:cs="Arial"/>
        </w:rPr>
        <w:t xml:space="preserve"> their interests</w:t>
      </w:r>
      <w:r w:rsidR="0030575F" w:rsidRPr="00140250">
        <w:rPr>
          <w:rStyle w:val="FootnoteReference"/>
          <w:rFonts w:ascii="Arial" w:hAnsi="Arial" w:cs="Arial"/>
        </w:rPr>
        <w:footnoteReference w:id="41"/>
      </w:r>
      <w:r w:rsidR="0030575F" w:rsidRPr="00140250">
        <w:rPr>
          <w:rFonts w:ascii="Arial" w:hAnsi="Arial" w:cs="Arial"/>
        </w:rPr>
        <w:t>.</w:t>
      </w:r>
      <w:r w:rsidRPr="00140250">
        <w:rPr>
          <w:rFonts w:ascii="Arial" w:hAnsi="Arial" w:cs="Arial"/>
        </w:rPr>
        <w:t xml:space="preserve"> Prior to the CNS, it was conducted predominantly in the absence of any legal representative or legal advice for the applicant</w:t>
      </w:r>
      <w:r w:rsidR="00473F00" w:rsidRPr="00140250">
        <w:rPr>
          <w:rFonts w:ascii="Arial" w:hAnsi="Arial" w:cs="Arial"/>
        </w:rPr>
        <w:t xml:space="preserve">. </w:t>
      </w:r>
      <w:r w:rsidRPr="00140250">
        <w:rPr>
          <w:rFonts w:ascii="Arial" w:hAnsi="Arial" w:cs="Arial"/>
        </w:rPr>
        <w:t xml:space="preserve">Since the CNS </w:t>
      </w:r>
      <w:proofErr w:type="gramStart"/>
      <w:r w:rsidRPr="00140250">
        <w:rPr>
          <w:rFonts w:ascii="Arial" w:hAnsi="Arial" w:cs="Arial"/>
        </w:rPr>
        <w:t>commenced</w:t>
      </w:r>
      <w:proofErr w:type="gramEnd"/>
      <w:r w:rsidRPr="00140250">
        <w:rPr>
          <w:rFonts w:ascii="Arial" w:hAnsi="Arial" w:cs="Arial"/>
        </w:rPr>
        <w:t xml:space="preserve"> we have </w:t>
      </w:r>
      <w:proofErr w:type="spellStart"/>
      <w:r w:rsidR="0030575F">
        <w:rPr>
          <w:rFonts w:ascii="Arial" w:hAnsi="Arial" w:cs="Arial"/>
        </w:rPr>
        <w:t>endeavored</w:t>
      </w:r>
      <w:proofErr w:type="spellEnd"/>
      <w:r w:rsidRPr="00140250">
        <w:rPr>
          <w:rFonts w:ascii="Arial" w:hAnsi="Arial" w:cs="Arial"/>
        </w:rPr>
        <w:t xml:space="preserve"> to provide advice and information to applicants about </w:t>
      </w:r>
      <w:r w:rsidR="0030575F">
        <w:rPr>
          <w:rFonts w:ascii="Arial" w:hAnsi="Arial" w:cs="Arial"/>
        </w:rPr>
        <w:t>the various considerations</w:t>
      </w:r>
      <w:r w:rsidRPr="00140250">
        <w:rPr>
          <w:rFonts w:ascii="Arial" w:hAnsi="Arial" w:cs="Arial"/>
        </w:rPr>
        <w:t xml:space="preserve"> and have assisted them to develop </w:t>
      </w:r>
      <w:r w:rsidR="00473F00" w:rsidRPr="00140250">
        <w:rPr>
          <w:rFonts w:ascii="Arial" w:hAnsi="Arial" w:cs="Arial"/>
        </w:rPr>
        <w:t>bail proposals. H</w:t>
      </w:r>
      <w:r w:rsidRPr="00140250">
        <w:rPr>
          <w:rFonts w:ascii="Arial" w:hAnsi="Arial" w:cs="Arial"/>
        </w:rPr>
        <w:t>owever</w:t>
      </w:r>
      <w:r w:rsidR="00473F00" w:rsidRPr="00140250">
        <w:rPr>
          <w:rFonts w:ascii="Arial" w:hAnsi="Arial" w:cs="Arial"/>
        </w:rPr>
        <w:t>,</w:t>
      </w:r>
      <w:r w:rsidRPr="00140250">
        <w:rPr>
          <w:rFonts w:ascii="Arial" w:hAnsi="Arial" w:cs="Arial"/>
        </w:rPr>
        <w:t xml:space="preserve"> we are not funded to appear on bail reviews for the applicant. </w:t>
      </w:r>
      <w:r w:rsidR="00473F00" w:rsidRPr="00140250">
        <w:rPr>
          <w:rFonts w:ascii="Arial" w:hAnsi="Arial" w:cs="Arial"/>
        </w:rPr>
        <w:t xml:space="preserve">Our clients have, from time to time, told us they did not get to speak to the Judge. </w:t>
      </w:r>
      <w:r w:rsidR="00C11DFF" w:rsidRPr="00140250">
        <w:rPr>
          <w:rFonts w:ascii="Arial" w:hAnsi="Arial" w:cs="Arial"/>
        </w:rPr>
        <w:t>To ensure some semblance of procedural fairness w</w:t>
      </w:r>
      <w:r w:rsidRPr="00140250">
        <w:rPr>
          <w:rFonts w:ascii="Arial" w:hAnsi="Arial" w:cs="Arial"/>
        </w:rPr>
        <w:t xml:space="preserve">e frequently ask Sergeants to ensure our clients are permitted to speak to the reviewing Judge and </w:t>
      </w:r>
      <w:r w:rsidR="00C11DFF" w:rsidRPr="00140250">
        <w:rPr>
          <w:rFonts w:ascii="Arial" w:hAnsi="Arial" w:cs="Arial"/>
        </w:rPr>
        <w:t>have been</w:t>
      </w:r>
      <w:r w:rsidRPr="00140250">
        <w:rPr>
          <w:rFonts w:ascii="Arial" w:hAnsi="Arial" w:cs="Arial"/>
        </w:rPr>
        <w:t xml:space="preserve"> laughed at or told that Judges rarely speak to applicants.</w:t>
      </w:r>
      <w:r w:rsidR="00C11DFF" w:rsidRPr="00140250">
        <w:rPr>
          <w:rFonts w:ascii="Arial" w:hAnsi="Arial" w:cs="Arial"/>
        </w:rPr>
        <w:t xml:space="preserve"> If true, </w:t>
      </w:r>
      <w:r w:rsidR="0030575F">
        <w:rPr>
          <w:rFonts w:ascii="Arial" w:hAnsi="Arial" w:cs="Arial"/>
        </w:rPr>
        <w:t>it is</w:t>
      </w:r>
      <w:r w:rsidR="00C11DFF" w:rsidRPr="00140250">
        <w:rPr>
          <w:rFonts w:ascii="Arial" w:hAnsi="Arial" w:cs="Arial"/>
        </w:rPr>
        <w:t xml:space="preserve"> concerning, to say the least. </w:t>
      </w:r>
      <w:r w:rsidRPr="00140250">
        <w:rPr>
          <w:rFonts w:ascii="Arial" w:hAnsi="Arial" w:cs="Arial"/>
        </w:rPr>
        <w:t>To rely on a police officer, who has a vested interest in ensuring the remand of troublesome youths</w:t>
      </w:r>
      <w:r w:rsidR="00C11DFF" w:rsidRPr="00140250">
        <w:rPr>
          <w:rFonts w:ascii="Arial" w:hAnsi="Arial" w:cs="Arial"/>
        </w:rPr>
        <w:t xml:space="preserve"> and adults</w:t>
      </w:r>
      <w:r w:rsidRPr="00140250">
        <w:rPr>
          <w:rFonts w:ascii="Arial" w:hAnsi="Arial" w:cs="Arial"/>
        </w:rPr>
        <w:t xml:space="preserve"> and no legal duty of candour to the court, to provide a fair summary of the alleged offending and the </w:t>
      </w:r>
      <w:proofErr w:type="gramStart"/>
      <w:r w:rsidRPr="00140250">
        <w:rPr>
          <w:rFonts w:ascii="Arial" w:hAnsi="Arial" w:cs="Arial"/>
        </w:rPr>
        <w:t>circumstances</w:t>
      </w:r>
      <w:proofErr w:type="gramEnd"/>
      <w:r w:rsidRPr="00140250">
        <w:rPr>
          <w:rFonts w:ascii="Arial" w:hAnsi="Arial" w:cs="Arial"/>
        </w:rPr>
        <w:t xml:space="preserve"> of the applicant is highly problematic, to say the least. </w:t>
      </w:r>
    </w:p>
    <w:bookmarkEnd w:id="8"/>
    <w:p w14:paraId="223702F2" w14:textId="77777777" w:rsidR="00586A89" w:rsidRPr="00140250" w:rsidRDefault="00586A89" w:rsidP="00D43E41">
      <w:pPr>
        <w:autoSpaceDE w:val="0"/>
        <w:autoSpaceDN w:val="0"/>
        <w:adjustRightInd w:val="0"/>
        <w:rPr>
          <w:rFonts w:ascii="Arial" w:hAnsi="Arial" w:cs="Arial"/>
        </w:rPr>
      </w:pPr>
    </w:p>
    <w:p w14:paraId="26C752E9" w14:textId="77777777" w:rsidR="003F6F41" w:rsidRPr="00140250" w:rsidRDefault="003F6F41" w:rsidP="003F6F41">
      <w:pPr>
        <w:rPr>
          <w:rFonts w:ascii="Arial" w:hAnsi="Arial" w:cs="Arial"/>
        </w:rPr>
      </w:pPr>
    </w:p>
    <w:p w14:paraId="47C47A8D" w14:textId="2FD50B1A" w:rsidR="00FB1241" w:rsidRPr="00140250" w:rsidRDefault="00150520" w:rsidP="00A16A5F">
      <w:pPr>
        <w:pStyle w:val="ListParagraph"/>
        <w:numPr>
          <w:ilvl w:val="0"/>
          <w:numId w:val="6"/>
        </w:numPr>
        <w:rPr>
          <w:rFonts w:ascii="Arial" w:hAnsi="Arial" w:cs="Arial"/>
          <w:b/>
        </w:rPr>
      </w:pPr>
      <w:proofErr w:type="spellStart"/>
      <w:r w:rsidRPr="00140250">
        <w:rPr>
          <w:rFonts w:ascii="Arial" w:hAnsi="Arial" w:cs="Arial"/>
          <w:b/>
        </w:rPr>
        <w:t>Noone</w:t>
      </w:r>
      <w:proofErr w:type="spellEnd"/>
      <w:r w:rsidRPr="00140250">
        <w:rPr>
          <w:rFonts w:ascii="Arial" w:hAnsi="Arial" w:cs="Arial"/>
          <w:b/>
        </w:rPr>
        <w:t xml:space="preserve"> knows you</w:t>
      </w:r>
      <w:r w:rsidR="00112F1A" w:rsidRPr="00140250">
        <w:rPr>
          <w:rFonts w:ascii="Arial" w:hAnsi="Arial" w:cs="Arial"/>
          <w:b/>
        </w:rPr>
        <w:t>’</w:t>
      </w:r>
      <w:r w:rsidRPr="00140250">
        <w:rPr>
          <w:rFonts w:ascii="Arial" w:hAnsi="Arial" w:cs="Arial"/>
          <w:b/>
        </w:rPr>
        <w:t>r</w:t>
      </w:r>
      <w:r w:rsidR="00112F1A" w:rsidRPr="00140250">
        <w:rPr>
          <w:rFonts w:ascii="Arial" w:hAnsi="Arial" w:cs="Arial"/>
          <w:b/>
        </w:rPr>
        <w:t>e</w:t>
      </w:r>
      <w:r w:rsidRPr="00140250">
        <w:rPr>
          <w:rFonts w:ascii="Arial" w:hAnsi="Arial" w:cs="Arial"/>
          <w:b/>
        </w:rPr>
        <w:t xml:space="preserve"> there</w:t>
      </w:r>
    </w:p>
    <w:p w14:paraId="7DA1D75F" w14:textId="77777777" w:rsidR="00A16A5F" w:rsidRPr="00140250" w:rsidRDefault="00A16A5F" w:rsidP="00B03FDF">
      <w:pPr>
        <w:rPr>
          <w:rFonts w:ascii="Arial" w:hAnsi="Arial" w:cs="Arial"/>
        </w:rPr>
      </w:pPr>
    </w:p>
    <w:p w14:paraId="5A6C461D" w14:textId="0BED8235" w:rsidR="00586A89" w:rsidRPr="00140250" w:rsidRDefault="00586A89" w:rsidP="00B03FDF">
      <w:pPr>
        <w:rPr>
          <w:rFonts w:ascii="Arial" w:hAnsi="Arial" w:cs="Arial"/>
          <w:b/>
          <w:bCs/>
        </w:rPr>
      </w:pPr>
      <w:r w:rsidRPr="00140250">
        <w:rPr>
          <w:rFonts w:ascii="Arial" w:hAnsi="Arial" w:cs="Arial"/>
          <w:b/>
          <w:bCs/>
        </w:rPr>
        <w:t>Family</w:t>
      </w:r>
    </w:p>
    <w:p w14:paraId="25E4BB25" w14:textId="77777777" w:rsidR="00586A89" w:rsidRPr="00140250" w:rsidRDefault="00586A89" w:rsidP="00B03FDF">
      <w:pPr>
        <w:rPr>
          <w:rFonts w:ascii="Arial" w:hAnsi="Arial" w:cs="Arial"/>
        </w:rPr>
      </w:pPr>
    </w:p>
    <w:p w14:paraId="71B3F150" w14:textId="7D5635A5" w:rsidR="00B03FDF" w:rsidRPr="00140250" w:rsidRDefault="00150520" w:rsidP="00B03FDF">
      <w:pPr>
        <w:rPr>
          <w:rFonts w:ascii="Arial" w:hAnsi="Arial" w:cs="Arial"/>
        </w:rPr>
      </w:pPr>
      <w:bookmarkStart w:id="9" w:name="_Hlk107328064"/>
      <w:r w:rsidRPr="00140250">
        <w:rPr>
          <w:rFonts w:ascii="Arial" w:hAnsi="Arial" w:cs="Arial"/>
        </w:rPr>
        <w:t xml:space="preserve">Police are </w:t>
      </w:r>
      <w:r w:rsidR="00E758F7" w:rsidRPr="00140250">
        <w:rPr>
          <w:rFonts w:ascii="Arial" w:hAnsi="Arial" w:cs="Arial"/>
        </w:rPr>
        <w:t xml:space="preserve">only required to disclose if a person is in </w:t>
      </w:r>
      <w:r w:rsidR="005121A0" w:rsidRPr="00140250">
        <w:rPr>
          <w:rFonts w:ascii="Arial" w:hAnsi="Arial" w:cs="Arial"/>
        </w:rPr>
        <w:t xml:space="preserve">their </w:t>
      </w:r>
      <w:r w:rsidR="00E758F7" w:rsidRPr="00140250">
        <w:rPr>
          <w:rFonts w:ascii="Arial" w:hAnsi="Arial" w:cs="Arial"/>
        </w:rPr>
        <w:t>custody</w:t>
      </w:r>
      <w:r w:rsidRPr="00140250">
        <w:rPr>
          <w:rFonts w:ascii="Arial" w:hAnsi="Arial" w:cs="Arial"/>
        </w:rPr>
        <w:t xml:space="preserve"> </w:t>
      </w:r>
      <w:r w:rsidR="00E758F7" w:rsidRPr="00140250">
        <w:rPr>
          <w:rFonts w:ascii="Arial" w:hAnsi="Arial" w:cs="Arial"/>
        </w:rPr>
        <w:t xml:space="preserve">on request from a </w:t>
      </w:r>
      <w:r w:rsidRPr="00140250">
        <w:rPr>
          <w:rFonts w:ascii="Arial" w:hAnsi="Arial" w:cs="Arial"/>
        </w:rPr>
        <w:t>lawyer representing the person</w:t>
      </w:r>
      <w:r w:rsidR="005121A0" w:rsidRPr="00140250">
        <w:rPr>
          <w:rFonts w:ascii="Arial" w:hAnsi="Arial" w:cs="Arial"/>
        </w:rPr>
        <w:t>, (</w:t>
      </w:r>
      <w:r w:rsidR="008A403C" w:rsidRPr="00140250">
        <w:rPr>
          <w:rFonts w:ascii="Arial" w:hAnsi="Arial" w:cs="Arial"/>
        </w:rPr>
        <w:t>i</w:t>
      </w:r>
      <w:r w:rsidR="00E758F7" w:rsidRPr="00140250">
        <w:rPr>
          <w:rFonts w:ascii="Arial" w:hAnsi="Arial" w:cs="Arial"/>
        </w:rPr>
        <w:t>t is not clear how the lawyer will be engaged</w:t>
      </w:r>
      <w:r w:rsidR="00B663D8" w:rsidRPr="00140250">
        <w:rPr>
          <w:rFonts w:ascii="Arial" w:hAnsi="Arial" w:cs="Arial"/>
        </w:rPr>
        <w:t xml:space="preserve"> to make that request</w:t>
      </w:r>
      <w:r w:rsidR="00E758F7" w:rsidRPr="00140250">
        <w:rPr>
          <w:rFonts w:ascii="Arial" w:hAnsi="Arial" w:cs="Arial"/>
        </w:rPr>
        <w:t xml:space="preserve"> without speaking to the</w:t>
      </w:r>
      <w:r w:rsidR="005121A0" w:rsidRPr="00140250">
        <w:rPr>
          <w:rFonts w:ascii="Arial" w:hAnsi="Arial" w:cs="Arial"/>
        </w:rPr>
        <w:t xml:space="preserve"> person</w:t>
      </w:r>
      <w:r w:rsidR="00E758F7" w:rsidRPr="00140250">
        <w:rPr>
          <w:rFonts w:ascii="Arial" w:hAnsi="Arial" w:cs="Arial"/>
        </w:rPr>
        <w:t xml:space="preserve"> fi</w:t>
      </w:r>
      <w:r w:rsidR="00C11DFF" w:rsidRPr="00140250">
        <w:rPr>
          <w:rFonts w:ascii="Arial" w:hAnsi="Arial" w:cs="Arial"/>
        </w:rPr>
        <w:t>rst</w:t>
      </w:r>
      <w:r w:rsidR="005121A0" w:rsidRPr="00140250">
        <w:rPr>
          <w:rFonts w:ascii="Arial" w:hAnsi="Arial" w:cs="Arial"/>
        </w:rPr>
        <w:t>)</w:t>
      </w:r>
      <w:r w:rsidRPr="00140250">
        <w:rPr>
          <w:rFonts w:ascii="Arial" w:hAnsi="Arial" w:cs="Arial"/>
        </w:rPr>
        <w:t>, or their partner,</w:t>
      </w:r>
      <w:r w:rsidR="00E758F7" w:rsidRPr="00140250">
        <w:rPr>
          <w:rFonts w:ascii="Arial" w:hAnsi="Arial" w:cs="Arial"/>
        </w:rPr>
        <w:t xml:space="preserve"> </w:t>
      </w:r>
      <w:proofErr w:type="gramStart"/>
      <w:r w:rsidR="00E758F7" w:rsidRPr="00140250">
        <w:rPr>
          <w:rFonts w:ascii="Arial" w:hAnsi="Arial" w:cs="Arial"/>
        </w:rPr>
        <w:t>child</w:t>
      </w:r>
      <w:proofErr w:type="gramEnd"/>
      <w:r w:rsidR="00E758F7" w:rsidRPr="00140250">
        <w:rPr>
          <w:rFonts w:ascii="Arial" w:hAnsi="Arial" w:cs="Arial"/>
        </w:rPr>
        <w:t xml:space="preserve"> or parent, and only with the permission of the person in custody</w:t>
      </w:r>
      <w:r w:rsidR="00F918E9" w:rsidRPr="00140250">
        <w:rPr>
          <w:rStyle w:val="FootnoteReference"/>
          <w:rFonts w:ascii="Arial" w:hAnsi="Arial" w:cs="Arial"/>
        </w:rPr>
        <w:footnoteReference w:id="42"/>
      </w:r>
      <w:r w:rsidR="00E758F7" w:rsidRPr="00140250">
        <w:rPr>
          <w:rFonts w:ascii="Arial" w:hAnsi="Arial" w:cs="Arial"/>
        </w:rPr>
        <w:t>.</w:t>
      </w:r>
      <w:r w:rsidRPr="00140250">
        <w:rPr>
          <w:rFonts w:ascii="Arial" w:hAnsi="Arial" w:cs="Arial"/>
        </w:rPr>
        <w:t xml:space="preserve"> </w:t>
      </w:r>
      <w:r w:rsidR="00E758F7" w:rsidRPr="00140250">
        <w:rPr>
          <w:rFonts w:ascii="Arial" w:hAnsi="Arial" w:cs="Arial"/>
        </w:rPr>
        <w:t xml:space="preserve">In </w:t>
      </w:r>
      <w:r w:rsidR="00BC0307">
        <w:rPr>
          <w:rFonts w:ascii="Arial" w:hAnsi="Arial" w:cs="Arial"/>
        </w:rPr>
        <w:t>the author’s</w:t>
      </w:r>
      <w:r w:rsidR="00505E29" w:rsidRPr="00140250">
        <w:rPr>
          <w:rFonts w:ascii="Arial" w:hAnsi="Arial" w:cs="Arial"/>
        </w:rPr>
        <w:t xml:space="preserve"> experience</w:t>
      </w:r>
      <w:r w:rsidR="0030575F">
        <w:rPr>
          <w:rFonts w:ascii="Arial" w:hAnsi="Arial" w:cs="Arial"/>
        </w:rPr>
        <w:t>,</w:t>
      </w:r>
      <w:r w:rsidR="00505E29" w:rsidRPr="00140250">
        <w:rPr>
          <w:rFonts w:ascii="Arial" w:hAnsi="Arial" w:cs="Arial"/>
        </w:rPr>
        <w:t xml:space="preserve"> </w:t>
      </w:r>
      <w:r w:rsidR="00E758F7" w:rsidRPr="00140250">
        <w:rPr>
          <w:rFonts w:ascii="Arial" w:hAnsi="Arial" w:cs="Arial"/>
        </w:rPr>
        <w:t xml:space="preserve">this provision is </w:t>
      </w:r>
      <w:r w:rsidR="00F918E9" w:rsidRPr="00140250">
        <w:rPr>
          <w:rFonts w:ascii="Arial" w:hAnsi="Arial" w:cs="Arial"/>
        </w:rPr>
        <w:t xml:space="preserve">often </w:t>
      </w:r>
      <w:r w:rsidR="00E758F7" w:rsidRPr="00140250">
        <w:rPr>
          <w:rFonts w:ascii="Arial" w:hAnsi="Arial" w:cs="Arial"/>
        </w:rPr>
        <w:t>interpreted</w:t>
      </w:r>
      <w:r w:rsidR="00F918E9" w:rsidRPr="00140250">
        <w:rPr>
          <w:rFonts w:ascii="Arial" w:hAnsi="Arial" w:cs="Arial"/>
        </w:rPr>
        <w:t xml:space="preserve"> or applied</w:t>
      </w:r>
      <w:r w:rsidR="00E758F7" w:rsidRPr="00140250">
        <w:rPr>
          <w:rFonts w:ascii="Arial" w:hAnsi="Arial" w:cs="Arial"/>
        </w:rPr>
        <w:t xml:space="preserve"> by officers as a prohibition on disclosing any information to anyone about a person in custody, except in the limited circumstances provided.</w:t>
      </w:r>
      <w:r w:rsidR="007D78D5" w:rsidRPr="00140250">
        <w:rPr>
          <w:rFonts w:ascii="Arial" w:hAnsi="Arial" w:cs="Arial"/>
        </w:rPr>
        <w:t xml:space="preserve"> When regard is had to the very different and extended notions of family</w:t>
      </w:r>
      <w:r w:rsidR="005121A0" w:rsidRPr="00140250">
        <w:rPr>
          <w:rFonts w:ascii="Arial" w:hAnsi="Arial" w:cs="Arial"/>
        </w:rPr>
        <w:t xml:space="preserve"> amongst Aboriginal and Torres Strait Islanders in the NT</w:t>
      </w:r>
      <w:r w:rsidR="007D78D5" w:rsidRPr="00140250">
        <w:rPr>
          <w:rFonts w:ascii="Arial" w:hAnsi="Arial" w:cs="Arial"/>
        </w:rPr>
        <w:t>, it significant</w:t>
      </w:r>
      <w:r w:rsidR="005121A0" w:rsidRPr="00140250">
        <w:rPr>
          <w:rFonts w:ascii="Arial" w:hAnsi="Arial" w:cs="Arial"/>
        </w:rPr>
        <w:t>ly</w:t>
      </w:r>
      <w:r w:rsidR="007D78D5" w:rsidRPr="00140250">
        <w:rPr>
          <w:rFonts w:ascii="Arial" w:hAnsi="Arial" w:cs="Arial"/>
        </w:rPr>
        <w:t xml:space="preserve"> restricts the flow of information to th</w:t>
      </w:r>
      <w:r w:rsidR="005121A0" w:rsidRPr="00140250">
        <w:rPr>
          <w:rFonts w:ascii="Arial" w:hAnsi="Arial" w:cs="Arial"/>
        </w:rPr>
        <w:t>ose</w:t>
      </w:r>
      <w:r w:rsidR="007D78D5" w:rsidRPr="00140250">
        <w:rPr>
          <w:rFonts w:ascii="Arial" w:hAnsi="Arial" w:cs="Arial"/>
        </w:rPr>
        <w:t xml:space="preserve"> </w:t>
      </w:r>
      <w:r w:rsidR="00F71828" w:rsidRPr="00140250">
        <w:rPr>
          <w:rFonts w:ascii="Arial" w:hAnsi="Arial" w:cs="Arial"/>
        </w:rPr>
        <w:t xml:space="preserve">who might be worried about </w:t>
      </w:r>
      <w:r w:rsidR="00B663D8" w:rsidRPr="00140250">
        <w:rPr>
          <w:rFonts w:ascii="Arial" w:hAnsi="Arial" w:cs="Arial"/>
        </w:rPr>
        <w:t xml:space="preserve">a family member or loved one </w:t>
      </w:r>
      <w:r w:rsidR="00C11DFF" w:rsidRPr="00140250">
        <w:rPr>
          <w:rFonts w:ascii="Arial" w:hAnsi="Arial" w:cs="Arial"/>
        </w:rPr>
        <w:t>in police custody</w:t>
      </w:r>
      <w:r w:rsidR="007D78D5" w:rsidRPr="00140250">
        <w:rPr>
          <w:rFonts w:ascii="Arial" w:hAnsi="Arial" w:cs="Arial"/>
        </w:rPr>
        <w:t xml:space="preserve">. </w:t>
      </w:r>
      <w:r w:rsidR="00E758F7" w:rsidRPr="00140250">
        <w:rPr>
          <w:rFonts w:ascii="Arial" w:hAnsi="Arial" w:cs="Arial"/>
        </w:rPr>
        <w:t xml:space="preserve"> </w:t>
      </w:r>
      <w:r w:rsidR="00996040" w:rsidRPr="00140250">
        <w:rPr>
          <w:rFonts w:ascii="Arial" w:hAnsi="Arial" w:cs="Arial"/>
        </w:rPr>
        <w:t>T</w:t>
      </w:r>
      <w:r w:rsidR="00B03FDF" w:rsidRPr="00140250">
        <w:rPr>
          <w:rFonts w:ascii="Arial" w:hAnsi="Arial" w:cs="Arial"/>
        </w:rPr>
        <w:t>his provision might be justifiable as a means of preserving privacy, but it does nothing to enhance trust between the Aboriginal community and the police</w:t>
      </w:r>
      <w:r w:rsidR="00B932E4" w:rsidRPr="00140250">
        <w:rPr>
          <w:rFonts w:ascii="Arial" w:hAnsi="Arial" w:cs="Arial"/>
        </w:rPr>
        <w:t>, which was a fundamental concern of the RCIADIC</w:t>
      </w:r>
      <w:r w:rsidR="00B03FDF" w:rsidRPr="00140250">
        <w:rPr>
          <w:rFonts w:ascii="Arial" w:hAnsi="Arial" w:cs="Arial"/>
        </w:rPr>
        <w:t xml:space="preserve">. </w:t>
      </w:r>
      <w:bookmarkEnd w:id="9"/>
    </w:p>
    <w:p w14:paraId="1F3D8E17" w14:textId="77777777" w:rsidR="00150520" w:rsidRPr="00140250" w:rsidRDefault="00150520" w:rsidP="00B03FDF">
      <w:pPr>
        <w:rPr>
          <w:rFonts w:ascii="Arial" w:hAnsi="Arial" w:cs="Arial"/>
        </w:rPr>
      </w:pPr>
    </w:p>
    <w:p w14:paraId="1780BDEF" w14:textId="77777777" w:rsidR="00150520" w:rsidRPr="00140250" w:rsidRDefault="00150520" w:rsidP="00150520">
      <w:pPr>
        <w:rPr>
          <w:rFonts w:ascii="Arial" w:hAnsi="Arial" w:cs="Arial"/>
          <w:b/>
        </w:rPr>
      </w:pPr>
      <w:r w:rsidRPr="00140250">
        <w:rPr>
          <w:rFonts w:ascii="Arial" w:hAnsi="Arial" w:cs="Arial"/>
          <w:b/>
        </w:rPr>
        <w:t>Access to lawyer?</w:t>
      </w:r>
    </w:p>
    <w:p w14:paraId="4103286E" w14:textId="77777777" w:rsidR="00150520" w:rsidRPr="00140250" w:rsidRDefault="00150520" w:rsidP="00B03FDF">
      <w:pPr>
        <w:rPr>
          <w:rFonts w:ascii="Arial" w:hAnsi="Arial" w:cs="Arial"/>
        </w:rPr>
      </w:pPr>
    </w:p>
    <w:p w14:paraId="0E8221E3" w14:textId="03AFEA15" w:rsidR="000F1C84" w:rsidRPr="00140250" w:rsidRDefault="000F1C84" w:rsidP="00B03FDF">
      <w:pPr>
        <w:rPr>
          <w:rFonts w:ascii="Arial" w:hAnsi="Arial" w:cs="Arial"/>
        </w:rPr>
      </w:pPr>
      <w:r w:rsidRPr="00140250">
        <w:rPr>
          <w:rFonts w:ascii="Arial" w:hAnsi="Arial" w:cs="Arial"/>
        </w:rPr>
        <w:t xml:space="preserve">Prior to the CNS, </w:t>
      </w:r>
      <w:r w:rsidR="00A16A5F" w:rsidRPr="00140250">
        <w:rPr>
          <w:rFonts w:ascii="Arial" w:hAnsi="Arial" w:cs="Arial"/>
        </w:rPr>
        <w:t>when</w:t>
      </w:r>
      <w:r w:rsidR="00A27656" w:rsidRPr="00140250">
        <w:rPr>
          <w:rFonts w:ascii="Arial" w:hAnsi="Arial" w:cs="Arial"/>
        </w:rPr>
        <w:t xml:space="preserve"> an Aboriginal person </w:t>
      </w:r>
      <w:r w:rsidR="00A16A5F" w:rsidRPr="00140250">
        <w:rPr>
          <w:rFonts w:ascii="Arial" w:hAnsi="Arial" w:cs="Arial"/>
        </w:rPr>
        <w:t>was</w:t>
      </w:r>
      <w:r w:rsidR="00A27656" w:rsidRPr="00140250">
        <w:rPr>
          <w:rFonts w:ascii="Arial" w:hAnsi="Arial" w:cs="Arial"/>
        </w:rPr>
        <w:t xml:space="preserve"> arrested in the NT, </w:t>
      </w:r>
      <w:r w:rsidRPr="00140250">
        <w:rPr>
          <w:rFonts w:ascii="Arial" w:hAnsi="Arial" w:cs="Arial"/>
        </w:rPr>
        <w:t>the</w:t>
      </w:r>
      <w:r w:rsidR="001D374A" w:rsidRPr="00140250">
        <w:rPr>
          <w:rFonts w:ascii="Arial" w:hAnsi="Arial" w:cs="Arial"/>
        </w:rPr>
        <w:t xml:space="preserve"> closest </w:t>
      </w:r>
      <w:r w:rsidR="00A27656" w:rsidRPr="00140250">
        <w:rPr>
          <w:rFonts w:ascii="Arial" w:hAnsi="Arial" w:cs="Arial"/>
        </w:rPr>
        <w:t>they</w:t>
      </w:r>
      <w:r w:rsidR="001D374A" w:rsidRPr="00140250">
        <w:rPr>
          <w:rFonts w:ascii="Arial" w:hAnsi="Arial" w:cs="Arial"/>
        </w:rPr>
        <w:t xml:space="preserve"> c</w:t>
      </w:r>
      <w:r w:rsidR="00A27656" w:rsidRPr="00140250">
        <w:rPr>
          <w:rFonts w:ascii="Arial" w:hAnsi="Arial" w:cs="Arial"/>
        </w:rPr>
        <w:t>ame to being informed about their</w:t>
      </w:r>
      <w:r w:rsidR="001D374A" w:rsidRPr="00140250">
        <w:rPr>
          <w:rFonts w:ascii="Arial" w:hAnsi="Arial" w:cs="Arial"/>
        </w:rPr>
        <w:t xml:space="preserve"> right to speak to a lawyer </w:t>
      </w:r>
      <w:r w:rsidR="00A27656" w:rsidRPr="00140250">
        <w:rPr>
          <w:rFonts w:ascii="Arial" w:hAnsi="Arial" w:cs="Arial"/>
        </w:rPr>
        <w:t>was</w:t>
      </w:r>
      <w:r w:rsidR="007D78D5" w:rsidRPr="00140250">
        <w:rPr>
          <w:rFonts w:ascii="Arial" w:hAnsi="Arial" w:cs="Arial"/>
        </w:rPr>
        <w:t xml:space="preserve"> </w:t>
      </w:r>
      <w:r w:rsidR="00A27656" w:rsidRPr="00140250">
        <w:rPr>
          <w:rFonts w:ascii="Arial" w:hAnsi="Arial" w:cs="Arial"/>
        </w:rPr>
        <w:t>if</w:t>
      </w:r>
      <w:r w:rsidR="007D78D5" w:rsidRPr="00140250">
        <w:rPr>
          <w:rFonts w:ascii="Arial" w:hAnsi="Arial" w:cs="Arial"/>
        </w:rPr>
        <w:t xml:space="preserve"> </w:t>
      </w:r>
      <w:r w:rsidR="00A27656" w:rsidRPr="00140250">
        <w:rPr>
          <w:rFonts w:ascii="Arial" w:hAnsi="Arial" w:cs="Arial"/>
        </w:rPr>
        <w:t>they were</w:t>
      </w:r>
      <w:r w:rsidR="007D78D5" w:rsidRPr="00140250">
        <w:rPr>
          <w:rFonts w:ascii="Arial" w:hAnsi="Arial" w:cs="Arial"/>
        </w:rPr>
        <w:t xml:space="preserve"> </w:t>
      </w:r>
      <w:r w:rsidR="001D374A" w:rsidRPr="00140250">
        <w:rPr>
          <w:rFonts w:ascii="Arial" w:hAnsi="Arial" w:cs="Arial"/>
        </w:rPr>
        <w:t>being held under s137</w:t>
      </w:r>
      <w:r w:rsidRPr="00140250">
        <w:rPr>
          <w:rFonts w:ascii="Arial" w:hAnsi="Arial" w:cs="Arial"/>
        </w:rPr>
        <w:t xml:space="preserve"> of the P</w:t>
      </w:r>
      <w:r w:rsidR="00996040" w:rsidRPr="00140250">
        <w:rPr>
          <w:rFonts w:ascii="Arial" w:hAnsi="Arial" w:cs="Arial"/>
        </w:rPr>
        <w:t>olice Administration Act</w:t>
      </w:r>
      <w:r w:rsidR="007D78D5" w:rsidRPr="00140250">
        <w:rPr>
          <w:rFonts w:ascii="Arial" w:hAnsi="Arial" w:cs="Arial"/>
        </w:rPr>
        <w:t xml:space="preserve"> for further investigation.</w:t>
      </w:r>
      <w:r w:rsidR="00A16A5F" w:rsidRPr="00140250">
        <w:rPr>
          <w:rFonts w:ascii="Arial" w:hAnsi="Arial" w:cs="Arial"/>
        </w:rPr>
        <w:t xml:space="preserve"> </w:t>
      </w:r>
      <w:r w:rsidR="00996040" w:rsidRPr="00140250">
        <w:rPr>
          <w:rFonts w:ascii="Arial" w:hAnsi="Arial" w:cs="Arial"/>
        </w:rPr>
        <w:t>Pursuant to</w:t>
      </w:r>
      <w:r w:rsidR="00A16A5F" w:rsidRPr="00140250">
        <w:rPr>
          <w:rFonts w:ascii="Arial" w:hAnsi="Arial" w:cs="Arial"/>
        </w:rPr>
        <w:t xml:space="preserve"> section 140 of the </w:t>
      </w:r>
      <w:r w:rsidR="00996040" w:rsidRPr="00140250">
        <w:rPr>
          <w:rFonts w:ascii="Arial" w:hAnsi="Arial" w:cs="Arial"/>
        </w:rPr>
        <w:t>same Act</w:t>
      </w:r>
      <w:r w:rsidR="00A16A5F" w:rsidRPr="00140250">
        <w:rPr>
          <w:rFonts w:ascii="Arial" w:hAnsi="Arial" w:cs="Arial"/>
        </w:rPr>
        <w:t xml:space="preserve">, the officer is required to inform the person in </w:t>
      </w:r>
      <w:r w:rsidR="00505E29" w:rsidRPr="00140250">
        <w:rPr>
          <w:rFonts w:ascii="Arial" w:hAnsi="Arial" w:cs="Arial"/>
        </w:rPr>
        <w:t xml:space="preserve">their </w:t>
      </w:r>
      <w:r w:rsidR="00A16A5F" w:rsidRPr="00140250">
        <w:rPr>
          <w:rFonts w:ascii="Arial" w:hAnsi="Arial" w:cs="Arial"/>
        </w:rPr>
        <w:t xml:space="preserve">custody that </w:t>
      </w:r>
      <w:proofErr w:type="gramStart"/>
      <w:r w:rsidR="00A16A5F" w:rsidRPr="00140250">
        <w:rPr>
          <w:rFonts w:ascii="Arial" w:hAnsi="Arial" w:cs="Arial"/>
        </w:rPr>
        <w:t>they;</w:t>
      </w:r>
      <w:proofErr w:type="gramEnd"/>
    </w:p>
    <w:p w14:paraId="3EAD3ABA" w14:textId="3570BF4D" w:rsidR="001D374A" w:rsidRPr="00140250" w:rsidRDefault="001D374A" w:rsidP="00B03FDF">
      <w:pPr>
        <w:rPr>
          <w:rFonts w:ascii="Arial" w:eastAsia="Times New Roman" w:hAnsi="Arial" w:cs="Arial"/>
          <w:lang w:eastAsia="en-AU"/>
        </w:rPr>
      </w:pPr>
    </w:p>
    <w:p w14:paraId="16B2BFB9" w14:textId="79F0EBA4" w:rsidR="001D374A" w:rsidRPr="00140250" w:rsidRDefault="001D374A" w:rsidP="00A16A5F">
      <w:pPr>
        <w:ind w:left="720"/>
        <w:rPr>
          <w:rFonts w:ascii="Arial" w:eastAsia="Times New Roman" w:hAnsi="Arial" w:cs="Arial"/>
          <w:i/>
          <w:lang w:eastAsia="en-AU"/>
        </w:rPr>
      </w:pPr>
      <w:r w:rsidRPr="00140250">
        <w:rPr>
          <w:rFonts w:ascii="Arial" w:eastAsia="Times New Roman" w:hAnsi="Arial" w:cs="Arial"/>
          <w:lang w:eastAsia="en-AU"/>
        </w:rPr>
        <w:t xml:space="preserve">(b) </w:t>
      </w:r>
      <w:r w:rsidRPr="00140250">
        <w:rPr>
          <w:rFonts w:ascii="Arial" w:eastAsia="Times New Roman" w:hAnsi="Arial" w:cs="Arial"/>
          <w:i/>
          <w:u w:val="single"/>
          <w:lang w:eastAsia="en-AU"/>
        </w:rPr>
        <w:t>may</w:t>
      </w:r>
      <w:r w:rsidRPr="00140250">
        <w:rPr>
          <w:rFonts w:ascii="Arial" w:eastAsia="Times New Roman" w:hAnsi="Arial" w:cs="Arial"/>
          <w:lang w:eastAsia="en-AU"/>
        </w:rPr>
        <w:t xml:space="preserve"> </w:t>
      </w:r>
      <w:r w:rsidRPr="00140250">
        <w:rPr>
          <w:rFonts w:ascii="Arial" w:eastAsia="Times New Roman" w:hAnsi="Arial" w:cs="Arial"/>
          <w:b/>
          <w:lang w:eastAsia="en-AU"/>
        </w:rPr>
        <w:t>communicate</w:t>
      </w:r>
      <w:r w:rsidRPr="00140250">
        <w:rPr>
          <w:rFonts w:ascii="Arial" w:eastAsia="Times New Roman" w:hAnsi="Arial" w:cs="Arial"/>
          <w:lang w:eastAsia="en-AU"/>
        </w:rPr>
        <w:t xml:space="preserve"> with or attempt to communicate with a </w:t>
      </w:r>
      <w:r w:rsidRPr="00140250">
        <w:rPr>
          <w:rFonts w:ascii="Arial" w:eastAsia="Times New Roman" w:hAnsi="Arial" w:cs="Arial"/>
          <w:b/>
          <w:lang w:eastAsia="en-AU"/>
        </w:rPr>
        <w:t>friend or relative</w:t>
      </w:r>
      <w:r w:rsidRPr="00140250">
        <w:rPr>
          <w:rFonts w:ascii="Arial" w:eastAsia="Times New Roman" w:hAnsi="Arial" w:cs="Arial"/>
          <w:lang w:eastAsia="en-AU"/>
        </w:rPr>
        <w:t xml:space="preserve"> </w:t>
      </w:r>
      <w:r w:rsidRPr="00140250">
        <w:rPr>
          <w:rFonts w:ascii="Arial" w:eastAsia="Times New Roman" w:hAnsi="Arial" w:cs="Arial"/>
          <w:i/>
          <w:lang w:eastAsia="en-AU"/>
        </w:rPr>
        <w:t>to inform the friend or relative of the person's whereabouts</w:t>
      </w:r>
      <w:r w:rsidR="00505E29" w:rsidRPr="00140250">
        <w:rPr>
          <w:rFonts w:ascii="Arial" w:eastAsia="Times New Roman" w:hAnsi="Arial" w:cs="Arial"/>
          <w:i/>
          <w:lang w:eastAsia="en-AU"/>
        </w:rPr>
        <w:t>.</w:t>
      </w:r>
    </w:p>
    <w:p w14:paraId="4B78F608" w14:textId="77777777" w:rsidR="000F1C84" w:rsidRPr="00140250" w:rsidRDefault="000F1C84" w:rsidP="00B03FDF">
      <w:pPr>
        <w:rPr>
          <w:rFonts w:ascii="Arial" w:eastAsia="Times New Roman" w:hAnsi="Arial" w:cs="Arial"/>
          <w:lang w:eastAsia="en-AU"/>
        </w:rPr>
      </w:pPr>
      <w:bookmarkStart w:id="10" w:name="_Hlk93915844"/>
    </w:p>
    <w:p w14:paraId="079F5D06" w14:textId="597FEDD0" w:rsidR="001D374A" w:rsidRDefault="001D374A" w:rsidP="00B03FDF">
      <w:pPr>
        <w:rPr>
          <w:rFonts w:ascii="Arial" w:eastAsia="Times New Roman" w:hAnsi="Arial" w:cs="Arial"/>
        </w:rPr>
      </w:pPr>
      <w:r w:rsidRPr="00140250">
        <w:rPr>
          <w:rFonts w:ascii="Arial" w:eastAsia="Times New Roman" w:hAnsi="Arial" w:cs="Arial"/>
          <w:lang w:eastAsia="en-AU"/>
        </w:rPr>
        <w:lastRenderedPageBreak/>
        <w:t>It is the only jurisdiction</w:t>
      </w:r>
      <w:r w:rsidR="007D78D5" w:rsidRPr="00140250">
        <w:rPr>
          <w:rFonts w:ascii="Arial" w:eastAsia="Times New Roman" w:hAnsi="Arial" w:cs="Arial"/>
          <w:lang w:eastAsia="en-AU"/>
        </w:rPr>
        <w:t xml:space="preserve"> in Australia that does not</w:t>
      </w:r>
      <w:r w:rsidRPr="00140250">
        <w:rPr>
          <w:rFonts w:ascii="Arial" w:eastAsia="Times New Roman" w:hAnsi="Arial" w:cs="Arial"/>
          <w:lang w:eastAsia="en-AU"/>
        </w:rPr>
        <w:t xml:space="preserve"> </w:t>
      </w:r>
      <w:r w:rsidR="00EC0AFC" w:rsidRPr="00140250">
        <w:rPr>
          <w:rFonts w:ascii="Arial" w:eastAsia="Times New Roman" w:hAnsi="Arial" w:cs="Arial"/>
          <w:lang w:eastAsia="en-AU"/>
        </w:rPr>
        <w:t xml:space="preserve">specifically </w:t>
      </w:r>
      <w:r w:rsidRPr="00140250">
        <w:rPr>
          <w:rFonts w:ascii="Arial" w:eastAsia="Times New Roman" w:hAnsi="Arial" w:cs="Arial"/>
          <w:lang w:eastAsia="en-AU"/>
        </w:rPr>
        <w:t>require police to inform the person in their custody, under investigation, th</w:t>
      </w:r>
      <w:r w:rsidR="007D78D5" w:rsidRPr="00140250">
        <w:rPr>
          <w:rFonts w:ascii="Arial" w:eastAsia="Times New Roman" w:hAnsi="Arial" w:cs="Arial"/>
          <w:lang w:eastAsia="en-AU"/>
        </w:rPr>
        <w:t xml:space="preserve">at they may confer with a lawyer. </w:t>
      </w:r>
      <w:bookmarkEnd w:id="10"/>
      <w:r w:rsidR="007D78D5" w:rsidRPr="00140250">
        <w:rPr>
          <w:rFonts w:ascii="Arial" w:eastAsia="Times New Roman" w:hAnsi="Arial" w:cs="Arial"/>
          <w:lang w:eastAsia="en-AU"/>
        </w:rPr>
        <w:t>In Queensland, Police are required to notify the A</w:t>
      </w:r>
      <w:r w:rsidR="00CA136B">
        <w:rPr>
          <w:rFonts w:ascii="Arial" w:eastAsia="Times New Roman" w:hAnsi="Arial" w:cs="Arial"/>
          <w:lang w:eastAsia="en-AU"/>
        </w:rPr>
        <w:t xml:space="preserve">boriginal </w:t>
      </w:r>
      <w:r w:rsidR="007D78D5" w:rsidRPr="00140250">
        <w:rPr>
          <w:rFonts w:ascii="Arial" w:eastAsia="Times New Roman" w:hAnsi="Arial" w:cs="Arial"/>
          <w:lang w:eastAsia="en-AU"/>
        </w:rPr>
        <w:t>L</w:t>
      </w:r>
      <w:r w:rsidR="00CA136B">
        <w:rPr>
          <w:rFonts w:ascii="Arial" w:eastAsia="Times New Roman" w:hAnsi="Arial" w:cs="Arial"/>
          <w:lang w:eastAsia="en-AU"/>
        </w:rPr>
        <w:t xml:space="preserve">egal </w:t>
      </w:r>
      <w:r w:rsidR="007D78D5" w:rsidRPr="00140250">
        <w:rPr>
          <w:rFonts w:ascii="Arial" w:eastAsia="Times New Roman" w:hAnsi="Arial" w:cs="Arial"/>
          <w:lang w:eastAsia="en-AU"/>
        </w:rPr>
        <w:t>S</w:t>
      </w:r>
      <w:r w:rsidR="00CA136B">
        <w:rPr>
          <w:rFonts w:ascii="Arial" w:eastAsia="Times New Roman" w:hAnsi="Arial" w:cs="Arial"/>
          <w:lang w:eastAsia="en-AU"/>
        </w:rPr>
        <w:t>ervice (“ALS”)</w:t>
      </w:r>
      <w:r w:rsidR="007D78D5" w:rsidRPr="00140250">
        <w:rPr>
          <w:rFonts w:ascii="Arial" w:eastAsia="Times New Roman" w:hAnsi="Arial" w:cs="Arial"/>
          <w:lang w:eastAsia="en-AU"/>
        </w:rPr>
        <w:t xml:space="preserve"> if they intend to interview an Aboriginal</w:t>
      </w:r>
      <w:r w:rsidR="000B5C54" w:rsidRPr="00140250">
        <w:rPr>
          <w:rFonts w:ascii="Arial" w:eastAsia="Times New Roman" w:hAnsi="Arial" w:cs="Arial"/>
          <w:lang w:eastAsia="en-AU"/>
        </w:rPr>
        <w:t xml:space="preserve"> suspect</w:t>
      </w:r>
      <w:r w:rsidR="007D78D5" w:rsidRPr="00140250">
        <w:rPr>
          <w:rFonts w:ascii="Arial" w:eastAsia="Times New Roman" w:hAnsi="Arial" w:cs="Arial"/>
          <w:lang w:eastAsia="en-AU"/>
        </w:rPr>
        <w:t xml:space="preserve"> in their custody</w:t>
      </w:r>
      <w:r w:rsidR="000B5C54" w:rsidRPr="00140250">
        <w:rPr>
          <w:rFonts w:ascii="Arial" w:eastAsia="Times New Roman" w:hAnsi="Arial" w:cs="Arial"/>
          <w:lang w:eastAsia="en-AU"/>
        </w:rPr>
        <w:t xml:space="preserve"> and inform the suspect of this</w:t>
      </w:r>
      <w:r w:rsidR="007D78D5" w:rsidRPr="00140250">
        <w:rPr>
          <w:rStyle w:val="FootnoteReference"/>
          <w:rFonts w:ascii="Arial" w:eastAsia="Times New Roman" w:hAnsi="Arial" w:cs="Arial"/>
          <w:lang w:eastAsia="en-AU"/>
        </w:rPr>
        <w:footnoteReference w:id="43"/>
      </w:r>
      <w:r w:rsidR="001C411E" w:rsidRPr="00140250">
        <w:rPr>
          <w:rFonts w:ascii="Arial" w:eastAsia="Times New Roman" w:hAnsi="Arial" w:cs="Arial"/>
          <w:lang w:eastAsia="en-AU"/>
        </w:rPr>
        <w:t xml:space="preserve"> and</w:t>
      </w:r>
      <w:r w:rsidR="000B5C54" w:rsidRPr="00140250">
        <w:rPr>
          <w:rFonts w:ascii="Arial" w:eastAsia="Times New Roman" w:hAnsi="Arial" w:cs="Arial"/>
          <w:lang w:eastAsia="en-AU"/>
        </w:rPr>
        <w:t xml:space="preserve"> cannot interview the suspect unless they have given the</w:t>
      </w:r>
      <w:r w:rsidR="00CA136B">
        <w:rPr>
          <w:rFonts w:ascii="Arial" w:eastAsia="Times New Roman" w:hAnsi="Arial" w:cs="Arial"/>
          <w:lang w:eastAsia="en-AU"/>
        </w:rPr>
        <w:t>m</w:t>
      </w:r>
      <w:r w:rsidR="000B5C54" w:rsidRPr="00140250">
        <w:rPr>
          <w:rFonts w:ascii="Arial" w:eastAsia="Times New Roman" w:hAnsi="Arial" w:cs="Arial"/>
          <w:lang w:eastAsia="en-AU"/>
        </w:rPr>
        <w:t xml:space="preserve"> the opportunity to speak to a support person</w:t>
      </w:r>
      <w:r w:rsidR="000B5C54" w:rsidRPr="00140250">
        <w:rPr>
          <w:rStyle w:val="FootnoteReference"/>
          <w:rFonts w:ascii="Arial" w:eastAsia="Times New Roman" w:hAnsi="Arial" w:cs="Arial"/>
          <w:lang w:eastAsia="en-AU"/>
        </w:rPr>
        <w:footnoteReference w:id="44"/>
      </w:r>
      <w:r w:rsidR="000B5C54" w:rsidRPr="00140250">
        <w:rPr>
          <w:rFonts w:ascii="Arial" w:eastAsia="Times New Roman" w:hAnsi="Arial" w:cs="Arial"/>
          <w:lang w:eastAsia="en-AU"/>
        </w:rPr>
        <w:t>. In NSW there is a similar requirement to notify the ALS</w:t>
      </w:r>
      <w:r w:rsidR="000B5C54" w:rsidRPr="00140250">
        <w:rPr>
          <w:rStyle w:val="FootnoteReference"/>
          <w:rFonts w:ascii="Arial" w:eastAsia="Times New Roman" w:hAnsi="Arial" w:cs="Arial"/>
          <w:lang w:eastAsia="en-AU"/>
        </w:rPr>
        <w:footnoteReference w:id="45"/>
      </w:r>
      <w:r w:rsidR="000B5C54" w:rsidRPr="00140250">
        <w:rPr>
          <w:rFonts w:ascii="Arial" w:eastAsia="Times New Roman" w:hAnsi="Arial" w:cs="Arial"/>
          <w:lang w:eastAsia="en-AU"/>
        </w:rPr>
        <w:t xml:space="preserve"> and not to interview an Aboriginal suspect unless police have </w:t>
      </w:r>
      <w:r w:rsidR="000B5C54" w:rsidRPr="00140250">
        <w:rPr>
          <w:rFonts w:ascii="Arial" w:eastAsia="Times New Roman" w:hAnsi="Arial" w:cs="Arial"/>
        </w:rPr>
        <w:t xml:space="preserve">informed the suspect they may </w:t>
      </w:r>
      <w:r w:rsidR="000B5C54" w:rsidRPr="0030575F">
        <w:rPr>
          <w:rFonts w:ascii="Arial" w:eastAsia="Times New Roman" w:hAnsi="Arial" w:cs="Arial"/>
          <w:bCs/>
        </w:rPr>
        <w:t>communicate</w:t>
      </w:r>
      <w:r w:rsidR="000B5C54" w:rsidRPr="00140250">
        <w:rPr>
          <w:rFonts w:ascii="Arial" w:eastAsia="Times New Roman" w:hAnsi="Arial" w:cs="Arial"/>
          <w:b/>
        </w:rPr>
        <w:t xml:space="preserve"> </w:t>
      </w:r>
      <w:r w:rsidR="000B5C54" w:rsidRPr="00140250">
        <w:rPr>
          <w:rFonts w:ascii="Arial" w:eastAsia="Times New Roman" w:hAnsi="Arial" w:cs="Arial"/>
        </w:rPr>
        <w:t xml:space="preserve">with a </w:t>
      </w:r>
      <w:r w:rsidR="002A6EDF" w:rsidRPr="00140250">
        <w:rPr>
          <w:rFonts w:ascii="Arial" w:eastAsia="Times New Roman" w:hAnsi="Arial" w:cs="Arial"/>
        </w:rPr>
        <w:t>lawyer and</w:t>
      </w:r>
      <w:r w:rsidR="000B5C54" w:rsidRPr="00140250">
        <w:rPr>
          <w:rFonts w:ascii="Arial" w:eastAsia="Times New Roman" w:hAnsi="Arial" w:cs="Arial"/>
        </w:rPr>
        <w:t xml:space="preserve"> permit them to do so if they wish</w:t>
      </w:r>
      <w:r w:rsidR="000B5C54" w:rsidRPr="00140250">
        <w:rPr>
          <w:rStyle w:val="FootnoteReference"/>
          <w:rFonts w:ascii="Arial" w:eastAsia="Times New Roman" w:hAnsi="Arial" w:cs="Arial"/>
        </w:rPr>
        <w:footnoteReference w:id="46"/>
      </w:r>
      <w:r w:rsidR="00D57BE9" w:rsidRPr="00140250">
        <w:rPr>
          <w:rFonts w:ascii="Arial" w:eastAsia="Times New Roman" w:hAnsi="Arial" w:cs="Arial"/>
        </w:rPr>
        <w:t xml:space="preserve">. </w:t>
      </w:r>
      <w:r w:rsidR="00FA6FF8" w:rsidRPr="00140250">
        <w:rPr>
          <w:rFonts w:ascii="Arial" w:eastAsia="Times New Roman" w:hAnsi="Arial" w:cs="Arial"/>
        </w:rPr>
        <w:t>Similar rights exist in Western Australia</w:t>
      </w:r>
      <w:r w:rsidR="002A6EDF" w:rsidRPr="00140250">
        <w:rPr>
          <w:rFonts w:ascii="Arial" w:eastAsia="Times New Roman" w:hAnsi="Arial" w:cs="Arial"/>
        </w:rPr>
        <w:t>.</w:t>
      </w:r>
      <w:r w:rsidR="00FA6FF8" w:rsidRPr="00140250">
        <w:rPr>
          <w:rStyle w:val="FootnoteReference"/>
          <w:rFonts w:ascii="Arial" w:eastAsia="Times New Roman" w:hAnsi="Arial" w:cs="Arial"/>
        </w:rPr>
        <w:footnoteReference w:id="47"/>
      </w:r>
      <w:r w:rsidR="00D57BE9" w:rsidRPr="00140250">
        <w:rPr>
          <w:rFonts w:ascii="Arial" w:eastAsia="Times New Roman" w:hAnsi="Arial" w:cs="Arial"/>
        </w:rPr>
        <w:t xml:space="preserve">In the ACT, if the police intend to question an Aboriginal </w:t>
      </w:r>
      <w:r w:rsidR="002A6EDF" w:rsidRPr="00140250">
        <w:rPr>
          <w:rFonts w:ascii="Arial" w:eastAsia="Times New Roman" w:hAnsi="Arial" w:cs="Arial"/>
        </w:rPr>
        <w:t>suspect,</w:t>
      </w:r>
      <w:r w:rsidR="00D57BE9" w:rsidRPr="00140250">
        <w:rPr>
          <w:rFonts w:ascii="Arial" w:eastAsia="Times New Roman" w:hAnsi="Arial" w:cs="Arial"/>
        </w:rPr>
        <w:t xml:space="preserve"> they must notify the ALS</w:t>
      </w:r>
      <w:r w:rsidR="00D57BE9" w:rsidRPr="00140250">
        <w:rPr>
          <w:rStyle w:val="FootnoteReference"/>
          <w:rFonts w:ascii="Arial" w:eastAsia="Times New Roman" w:hAnsi="Arial" w:cs="Arial"/>
        </w:rPr>
        <w:footnoteReference w:id="48"/>
      </w:r>
      <w:r w:rsidR="00D57BE9" w:rsidRPr="00140250">
        <w:rPr>
          <w:rFonts w:ascii="Arial" w:eastAsia="Times New Roman" w:hAnsi="Arial" w:cs="Arial"/>
        </w:rPr>
        <w:t xml:space="preserve"> and are not permitted to question the suspect unless the suspect has had the opportunity to speak to them (or 2 hours have elapsed)</w:t>
      </w:r>
      <w:r w:rsidR="00D57BE9" w:rsidRPr="00140250">
        <w:rPr>
          <w:rStyle w:val="FootnoteReference"/>
          <w:rFonts w:ascii="Arial" w:eastAsia="Times New Roman" w:hAnsi="Arial" w:cs="Arial"/>
        </w:rPr>
        <w:footnoteReference w:id="49"/>
      </w:r>
      <w:r w:rsidR="00D57BE9" w:rsidRPr="00140250">
        <w:rPr>
          <w:rFonts w:ascii="Arial" w:eastAsia="Times New Roman" w:hAnsi="Arial" w:cs="Arial"/>
        </w:rPr>
        <w:t xml:space="preserve"> </w:t>
      </w:r>
      <w:r w:rsidR="00D57BE9" w:rsidRPr="0030575F">
        <w:rPr>
          <w:rFonts w:ascii="Arial" w:eastAsia="Times New Roman" w:hAnsi="Arial" w:cs="Arial"/>
        </w:rPr>
        <w:t>and</w:t>
      </w:r>
      <w:r w:rsidR="00D57BE9" w:rsidRPr="00140250">
        <w:rPr>
          <w:rFonts w:ascii="Arial" w:eastAsia="Times New Roman" w:hAnsi="Arial" w:cs="Arial"/>
        </w:rPr>
        <w:t xml:space="preserve"> </w:t>
      </w:r>
      <w:r w:rsidR="002A6EDF" w:rsidRPr="00140250">
        <w:rPr>
          <w:rFonts w:ascii="Arial" w:eastAsia="Times New Roman" w:hAnsi="Arial" w:cs="Arial"/>
        </w:rPr>
        <w:t xml:space="preserve">police </w:t>
      </w:r>
      <w:r w:rsidR="00D57BE9" w:rsidRPr="00140250">
        <w:rPr>
          <w:rFonts w:ascii="Arial" w:eastAsia="Times New Roman" w:hAnsi="Arial" w:cs="Arial"/>
        </w:rPr>
        <w:t>cannot interview the suspect unless they have an ‘interview friend’ present</w:t>
      </w:r>
      <w:r w:rsidR="00D57BE9" w:rsidRPr="00140250">
        <w:rPr>
          <w:rStyle w:val="FootnoteReference"/>
          <w:rFonts w:ascii="Arial" w:eastAsia="Times New Roman" w:hAnsi="Arial" w:cs="Arial"/>
        </w:rPr>
        <w:footnoteReference w:id="50"/>
      </w:r>
      <w:r w:rsidR="00D57BE9" w:rsidRPr="00140250">
        <w:rPr>
          <w:rFonts w:ascii="Arial" w:eastAsia="Times New Roman" w:hAnsi="Arial" w:cs="Arial"/>
        </w:rPr>
        <w:t xml:space="preserve">. </w:t>
      </w:r>
      <w:r w:rsidR="00FA6FF8" w:rsidRPr="00140250">
        <w:rPr>
          <w:rFonts w:ascii="Arial" w:eastAsia="Times New Roman" w:hAnsi="Arial" w:cs="Arial"/>
        </w:rPr>
        <w:t>In South Australia, where the suspect is apprehended on suspicion of committing an offence, they “are entitled to have a solicitor, friends or relative… present during an interrogation or investigation”</w:t>
      </w:r>
      <w:r w:rsidR="00FA6FF8" w:rsidRPr="00140250">
        <w:rPr>
          <w:rStyle w:val="FootnoteReference"/>
          <w:rFonts w:ascii="Arial" w:eastAsia="Times New Roman" w:hAnsi="Arial" w:cs="Arial"/>
        </w:rPr>
        <w:footnoteReference w:id="51"/>
      </w:r>
      <w:r w:rsidR="00F0588C" w:rsidRPr="00140250">
        <w:rPr>
          <w:rFonts w:ascii="Arial" w:eastAsia="Times New Roman" w:hAnsi="Arial" w:cs="Arial"/>
        </w:rPr>
        <w:t xml:space="preserve"> and where that person is Aboriginal, </w:t>
      </w:r>
      <w:r w:rsidR="00996040" w:rsidRPr="00140250">
        <w:rPr>
          <w:rFonts w:ascii="Arial" w:eastAsia="Times New Roman" w:hAnsi="Arial" w:cs="Arial"/>
        </w:rPr>
        <w:t>police</w:t>
      </w:r>
      <w:r w:rsidR="00F0588C" w:rsidRPr="00140250">
        <w:rPr>
          <w:rFonts w:ascii="Arial" w:eastAsia="Times New Roman" w:hAnsi="Arial" w:cs="Arial"/>
        </w:rPr>
        <w:t xml:space="preserve"> are </w:t>
      </w:r>
      <w:r w:rsidR="00996040" w:rsidRPr="00140250">
        <w:rPr>
          <w:rFonts w:ascii="Arial" w:eastAsia="Times New Roman" w:hAnsi="Arial" w:cs="Arial"/>
        </w:rPr>
        <w:t>required</w:t>
      </w:r>
      <w:r w:rsidR="00F0588C" w:rsidRPr="00140250">
        <w:rPr>
          <w:rFonts w:ascii="Arial" w:eastAsia="Times New Roman" w:hAnsi="Arial" w:cs="Arial"/>
        </w:rPr>
        <w:t xml:space="preserve"> to contact the CNS and allow the person to communicate with staff from that legal service</w:t>
      </w:r>
      <w:r w:rsidR="00FA6FF8" w:rsidRPr="00140250">
        <w:rPr>
          <w:rFonts w:ascii="Arial" w:eastAsia="Times New Roman" w:hAnsi="Arial" w:cs="Arial"/>
        </w:rPr>
        <w:t xml:space="preserve">. </w:t>
      </w:r>
      <w:r w:rsidR="00A014A9" w:rsidRPr="00140250">
        <w:rPr>
          <w:rFonts w:ascii="Arial" w:eastAsia="Times New Roman" w:hAnsi="Arial" w:cs="Arial"/>
        </w:rPr>
        <w:t>In Victoria police are required to notify the Victorian ALS if they take an Aboriginal suspect into custody</w:t>
      </w:r>
      <w:r w:rsidR="00996040" w:rsidRPr="00140250">
        <w:rPr>
          <w:rFonts w:ascii="Arial" w:eastAsia="Times New Roman" w:hAnsi="Arial" w:cs="Arial"/>
        </w:rPr>
        <w:t>,</w:t>
      </w:r>
      <w:r w:rsidR="00A014A9" w:rsidRPr="00140250">
        <w:rPr>
          <w:rStyle w:val="FootnoteReference"/>
          <w:rFonts w:ascii="Arial" w:eastAsia="Times New Roman" w:hAnsi="Arial" w:cs="Arial"/>
        </w:rPr>
        <w:footnoteReference w:id="52"/>
      </w:r>
      <w:r w:rsidR="00A014A9" w:rsidRPr="00140250">
        <w:rPr>
          <w:rFonts w:ascii="Arial" w:eastAsia="Times New Roman" w:hAnsi="Arial" w:cs="Arial"/>
        </w:rPr>
        <w:t xml:space="preserve"> and</w:t>
      </w:r>
      <w:r w:rsidR="00996040" w:rsidRPr="00140250">
        <w:rPr>
          <w:rFonts w:ascii="Arial" w:eastAsia="Times New Roman" w:hAnsi="Arial" w:cs="Arial"/>
        </w:rPr>
        <w:t>,</w:t>
      </w:r>
      <w:r w:rsidR="00A014A9" w:rsidRPr="00140250">
        <w:rPr>
          <w:rFonts w:ascii="Arial" w:eastAsia="Times New Roman" w:hAnsi="Arial" w:cs="Arial"/>
        </w:rPr>
        <w:t xml:space="preserve"> before any questioning of the suspect</w:t>
      </w:r>
      <w:r w:rsidR="00996040" w:rsidRPr="00140250">
        <w:rPr>
          <w:rFonts w:ascii="Arial" w:eastAsia="Times New Roman" w:hAnsi="Arial" w:cs="Arial"/>
        </w:rPr>
        <w:t>,</w:t>
      </w:r>
      <w:r w:rsidR="00A014A9" w:rsidRPr="00140250">
        <w:rPr>
          <w:rFonts w:ascii="Arial" w:eastAsia="Times New Roman" w:hAnsi="Arial" w:cs="Arial"/>
        </w:rPr>
        <w:t xml:space="preserve"> must inform them of their right to communicate with a lawyer and permit them the opportunity and facilities to have that communication</w:t>
      </w:r>
      <w:r w:rsidR="00A014A9" w:rsidRPr="00140250">
        <w:rPr>
          <w:rStyle w:val="FootnoteReference"/>
          <w:rFonts w:ascii="Arial" w:eastAsia="Times New Roman" w:hAnsi="Arial" w:cs="Arial"/>
        </w:rPr>
        <w:footnoteReference w:id="53"/>
      </w:r>
      <w:r w:rsidR="00A014A9" w:rsidRPr="00140250">
        <w:rPr>
          <w:rFonts w:ascii="Arial" w:eastAsia="Times New Roman" w:hAnsi="Arial" w:cs="Arial"/>
        </w:rPr>
        <w:t xml:space="preserve">. </w:t>
      </w:r>
      <w:r w:rsidR="00001229" w:rsidRPr="00140250">
        <w:rPr>
          <w:rFonts w:ascii="Arial" w:eastAsia="Times New Roman" w:hAnsi="Arial" w:cs="Arial"/>
        </w:rPr>
        <w:t>In Tasmania, before any questioning can commence, an officer must inform the suspect of their right to communicate with a lawyer and to facilitate this communication if the suspect so requests</w:t>
      </w:r>
      <w:r w:rsidR="00001229" w:rsidRPr="00140250">
        <w:rPr>
          <w:rStyle w:val="FootnoteReference"/>
          <w:rFonts w:ascii="Arial" w:eastAsia="Times New Roman" w:hAnsi="Arial" w:cs="Arial"/>
        </w:rPr>
        <w:footnoteReference w:id="54"/>
      </w:r>
      <w:r w:rsidR="00001229" w:rsidRPr="00140250">
        <w:rPr>
          <w:rFonts w:ascii="Arial" w:eastAsia="Times New Roman" w:hAnsi="Arial" w:cs="Arial"/>
        </w:rPr>
        <w:t xml:space="preserve">. </w:t>
      </w:r>
    </w:p>
    <w:p w14:paraId="1BD32C0A" w14:textId="0F4D4F8E" w:rsidR="000B174B" w:rsidRDefault="000B174B" w:rsidP="00B03FDF">
      <w:pPr>
        <w:rPr>
          <w:rFonts w:ascii="Arial" w:eastAsia="Times New Roman" w:hAnsi="Arial" w:cs="Arial"/>
        </w:rPr>
      </w:pPr>
    </w:p>
    <w:p w14:paraId="0C335085" w14:textId="77777777" w:rsidR="000B174B" w:rsidRPr="00140250" w:rsidRDefault="000B174B" w:rsidP="000B174B">
      <w:pPr>
        <w:rPr>
          <w:rFonts w:ascii="Arial" w:hAnsi="Arial" w:cs="Arial"/>
          <w:b/>
        </w:rPr>
      </w:pPr>
      <w:r w:rsidRPr="00140250">
        <w:rPr>
          <w:rFonts w:ascii="Arial" w:hAnsi="Arial" w:cs="Arial"/>
          <w:b/>
        </w:rPr>
        <w:t>Access to an interpreter</w:t>
      </w:r>
    </w:p>
    <w:p w14:paraId="27A4AEF2" w14:textId="77777777" w:rsidR="000B174B" w:rsidRPr="00140250" w:rsidRDefault="000B174B" w:rsidP="000B174B">
      <w:pPr>
        <w:rPr>
          <w:rFonts w:ascii="Arial" w:hAnsi="Arial" w:cs="Arial"/>
          <w:b/>
        </w:rPr>
      </w:pPr>
    </w:p>
    <w:p w14:paraId="23F1BED9" w14:textId="15781D63" w:rsidR="000B174B" w:rsidRPr="000B174B" w:rsidRDefault="000B174B" w:rsidP="00B03FDF">
      <w:pPr>
        <w:rPr>
          <w:rFonts w:ascii="Arial" w:hAnsi="Arial" w:cs="Arial"/>
          <w:b/>
        </w:rPr>
      </w:pPr>
      <w:bookmarkStart w:id="11" w:name="_Hlk93915912"/>
      <w:r w:rsidRPr="00140250">
        <w:rPr>
          <w:rFonts w:ascii="Arial" w:hAnsi="Arial" w:cs="Arial"/>
          <w:color w:val="000000"/>
          <w:spacing w:val="2"/>
        </w:rPr>
        <w:t>According to ABS data from 2016 the NT has the highest proportion of people who speak a language other than English at home</w:t>
      </w:r>
      <w:r w:rsidRPr="00140250">
        <w:rPr>
          <w:rStyle w:val="FootnoteReference"/>
          <w:rFonts w:ascii="Arial" w:hAnsi="Arial" w:cs="Arial"/>
          <w:color w:val="000000"/>
          <w:spacing w:val="2"/>
        </w:rPr>
        <w:footnoteReference w:id="55"/>
      </w:r>
      <w:r w:rsidRPr="00140250">
        <w:rPr>
          <w:rFonts w:ascii="Arial" w:hAnsi="Arial" w:cs="Arial"/>
          <w:color w:val="000000"/>
          <w:spacing w:val="2"/>
        </w:rPr>
        <w:t>, yet it is the only jurisdiction where police questioning an Aboriginal and/or Torres Strait Islander person, do not have a legislative obligation to arrange for the services of an interpreter ‘where a person’s English is insufficient to enable them to understand the questioning or speak with reasonable fluency.’</w:t>
      </w:r>
      <w:bookmarkEnd w:id="11"/>
      <w:r>
        <w:rPr>
          <w:rStyle w:val="FootnoteReference"/>
          <w:rFonts w:ascii="Arial" w:hAnsi="Arial" w:cs="Arial"/>
          <w:color w:val="000000"/>
          <w:spacing w:val="2"/>
        </w:rPr>
        <w:footnoteReference w:id="56"/>
      </w:r>
      <w:r w:rsidRPr="00140250">
        <w:rPr>
          <w:rFonts w:ascii="Arial" w:hAnsi="Arial" w:cs="Arial"/>
          <w:color w:val="000000"/>
          <w:spacing w:val="2"/>
        </w:rPr>
        <w:t xml:space="preserve"> Despite the availability of a recorded caution in 18 different languages</w:t>
      </w:r>
      <w:r w:rsidRPr="00140250">
        <w:rPr>
          <w:rStyle w:val="FootnoteReference"/>
          <w:rFonts w:ascii="Arial" w:hAnsi="Arial" w:cs="Arial"/>
          <w:color w:val="000000"/>
          <w:spacing w:val="2"/>
        </w:rPr>
        <w:footnoteReference w:id="57"/>
      </w:r>
      <w:r w:rsidRPr="00140250">
        <w:rPr>
          <w:rFonts w:ascii="Arial" w:hAnsi="Arial" w:cs="Arial"/>
          <w:color w:val="000000"/>
          <w:spacing w:val="2"/>
        </w:rPr>
        <w:t xml:space="preserve">, our experience at the CNS is that the recorded caution in language is seldom used. </w:t>
      </w:r>
    </w:p>
    <w:p w14:paraId="78942D30" w14:textId="77777777" w:rsidR="00FB1241" w:rsidRPr="00140250" w:rsidRDefault="00FB1241" w:rsidP="003F6F41">
      <w:pPr>
        <w:rPr>
          <w:rFonts w:ascii="Arial" w:hAnsi="Arial" w:cs="Arial"/>
          <w:b/>
        </w:rPr>
      </w:pPr>
    </w:p>
    <w:p w14:paraId="679692E1" w14:textId="77777777" w:rsidR="003F6F41" w:rsidRPr="00140250" w:rsidRDefault="003F6F41" w:rsidP="003F6F41">
      <w:pPr>
        <w:rPr>
          <w:rFonts w:ascii="Arial" w:hAnsi="Arial" w:cs="Arial"/>
          <w:b/>
        </w:rPr>
      </w:pPr>
    </w:p>
    <w:p w14:paraId="168DB91A" w14:textId="4FA96145" w:rsidR="003F6F41" w:rsidRPr="00B82892" w:rsidRDefault="003F6F41" w:rsidP="00B82892">
      <w:pPr>
        <w:pStyle w:val="ListParagraph"/>
        <w:numPr>
          <w:ilvl w:val="0"/>
          <w:numId w:val="6"/>
        </w:numPr>
        <w:rPr>
          <w:rFonts w:ascii="Arial" w:hAnsi="Arial" w:cs="Arial"/>
          <w:b/>
        </w:rPr>
      </w:pPr>
      <w:r w:rsidRPr="00B82892">
        <w:rPr>
          <w:rFonts w:ascii="Arial" w:hAnsi="Arial" w:cs="Arial"/>
          <w:b/>
        </w:rPr>
        <w:t>Black, very black</w:t>
      </w:r>
    </w:p>
    <w:p w14:paraId="5602DB7B" w14:textId="77777777" w:rsidR="00502E31" w:rsidRPr="00140250" w:rsidRDefault="00502E31" w:rsidP="003F6F41">
      <w:pPr>
        <w:rPr>
          <w:rFonts w:ascii="Arial" w:hAnsi="Arial" w:cs="Arial"/>
          <w:b/>
        </w:rPr>
      </w:pPr>
    </w:p>
    <w:p w14:paraId="539455E9" w14:textId="6335068C" w:rsidR="008A2905" w:rsidRPr="00140250" w:rsidRDefault="008A2905" w:rsidP="003F6F41">
      <w:pPr>
        <w:rPr>
          <w:rFonts w:ascii="Arial" w:eastAsia="Times New Roman" w:hAnsi="Arial" w:cs="Arial"/>
          <w:bCs/>
          <w:lang w:eastAsia="en-AU"/>
        </w:rPr>
      </w:pPr>
      <w:r w:rsidRPr="00140250">
        <w:rPr>
          <w:rFonts w:ascii="Arial" w:eastAsia="Times New Roman" w:hAnsi="Arial" w:cs="Arial"/>
          <w:bCs/>
          <w:lang w:eastAsia="en-AU"/>
        </w:rPr>
        <w:lastRenderedPageBreak/>
        <w:t>In 2018-2019, 7655 Aboriginal people</w:t>
      </w:r>
      <w:r w:rsidR="00CA136B">
        <w:rPr>
          <w:rFonts w:ascii="Arial" w:eastAsia="Times New Roman" w:hAnsi="Arial" w:cs="Arial"/>
          <w:bCs/>
          <w:lang w:eastAsia="en-AU"/>
        </w:rPr>
        <w:t xml:space="preserve"> were</w:t>
      </w:r>
      <w:r w:rsidRPr="00140250">
        <w:rPr>
          <w:rFonts w:ascii="Arial" w:eastAsia="Times New Roman" w:hAnsi="Arial" w:cs="Arial"/>
          <w:bCs/>
          <w:lang w:eastAsia="en-AU"/>
        </w:rPr>
        <w:t xml:space="preserve"> </w:t>
      </w:r>
      <w:r w:rsidR="002B22E8" w:rsidRPr="002B22E8">
        <w:rPr>
          <w:rFonts w:ascii="Arial" w:eastAsia="Times New Roman" w:hAnsi="Arial" w:cs="Arial"/>
          <w:bCs/>
          <w:i/>
          <w:iCs/>
          <w:lang w:eastAsia="en-AU"/>
        </w:rPr>
        <w:t>apprehended</w:t>
      </w:r>
      <w:r w:rsidR="002B22E8">
        <w:rPr>
          <w:rFonts w:ascii="Arial" w:eastAsia="Times New Roman" w:hAnsi="Arial" w:cs="Arial"/>
          <w:bCs/>
          <w:lang w:eastAsia="en-AU"/>
        </w:rPr>
        <w:t xml:space="preserve"> and </w:t>
      </w:r>
      <w:r w:rsidRPr="00140250">
        <w:rPr>
          <w:rFonts w:ascii="Arial" w:eastAsia="Times New Roman" w:hAnsi="Arial" w:cs="Arial"/>
          <w:bCs/>
          <w:lang w:eastAsia="en-AU"/>
        </w:rPr>
        <w:t>taken into protective custody in</w:t>
      </w:r>
      <w:r w:rsidR="00B15EC2" w:rsidRPr="00140250">
        <w:rPr>
          <w:rFonts w:ascii="Arial" w:eastAsia="Times New Roman" w:hAnsi="Arial" w:cs="Arial"/>
          <w:bCs/>
          <w:lang w:eastAsia="en-AU"/>
        </w:rPr>
        <w:t xml:space="preserve"> the Northern Territory. </w:t>
      </w:r>
      <w:r w:rsidRPr="00140250">
        <w:rPr>
          <w:rFonts w:ascii="Arial" w:eastAsia="Times New Roman" w:hAnsi="Arial" w:cs="Arial"/>
          <w:bCs/>
          <w:lang w:eastAsia="en-AU"/>
        </w:rPr>
        <w:t>The number of non-indigenous people taken into protective custody for the same period was 272.</w:t>
      </w:r>
      <w:r w:rsidR="002A6EDF" w:rsidRPr="00140250">
        <w:rPr>
          <w:rFonts w:ascii="Arial" w:eastAsia="Times New Roman" w:hAnsi="Arial" w:cs="Arial"/>
          <w:bCs/>
          <w:lang w:eastAsia="en-AU"/>
        </w:rPr>
        <w:t xml:space="preserve"> </w:t>
      </w:r>
      <w:r w:rsidRPr="00140250">
        <w:rPr>
          <w:rFonts w:ascii="Arial" w:eastAsia="Times New Roman" w:hAnsi="Arial" w:cs="Arial"/>
          <w:bCs/>
          <w:lang w:eastAsia="en-AU"/>
        </w:rPr>
        <w:t xml:space="preserve">While the NT police do not release data </w:t>
      </w:r>
      <w:r w:rsidR="00140250" w:rsidRPr="00140250">
        <w:rPr>
          <w:rFonts w:ascii="Arial" w:eastAsia="Times New Roman" w:hAnsi="Arial" w:cs="Arial"/>
          <w:bCs/>
          <w:lang w:eastAsia="en-AU"/>
        </w:rPr>
        <w:t xml:space="preserve">on </w:t>
      </w:r>
      <w:r w:rsidRPr="00140250">
        <w:rPr>
          <w:rFonts w:ascii="Arial" w:eastAsia="Times New Roman" w:hAnsi="Arial" w:cs="Arial"/>
          <w:bCs/>
          <w:lang w:eastAsia="en-AU"/>
        </w:rPr>
        <w:t xml:space="preserve">the number of non-Aboriginal people </w:t>
      </w:r>
      <w:r w:rsidRPr="002B22E8">
        <w:rPr>
          <w:rFonts w:ascii="Arial" w:eastAsia="Times New Roman" w:hAnsi="Arial" w:cs="Arial"/>
          <w:bCs/>
          <w:i/>
          <w:iCs/>
          <w:lang w:eastAsia="en-AU"/>
        </w:rPr>
        <w:t>arrested</w:t>
      </w:r>
      <w:r w:rsidRPr="00140250">
        <w:rPr>
          <w:rFonts w:ascii="Arial" w:eastAsia="Times New Roman" w:hAnsi="Arial" w:cs="Arial"/>
          <w:bCs/>
          <w:lang w:eastAsia="en-AU"/>
        </w:rPr>
        <w:t xml:space="preserve"> and taken into custody, as distinct from apprehended for protective custody, </w:t>
      </w:r>
      <w:r w:rsidR="007E03F7" w:rsidRPr="00140250">
        <w:rPr>
          <w:rFonts w:ascii="Arial" w:eastAsia="Times New Roman" w:hAnsi="Arial" w:cs="Arial"/>
          <w:bCs/>
          <w:lang w:eastAsia="en-AU"/>
        </w:rPr>
        <w:t xml:space="preserve">a visit </w:t>
      </w:r>
      <w:r w:rsidRPr="00140250">
        <w:rPr>
          <w:rFonts w:ascii="Arial" w:eastAsia="Times New Roman" w:hAnsi="Arial" w:cs="Arial"/>
          <w:bCs/>
          <w:lang w:eastAsia="en-AU"/>
        </w:rPr>
        <w:t>to any watch house</w:t>
      </w:r>
      <w:r w:rsidR="007E03F7" w:rsidRPr="00140250">
        <w:rPr>
          <w:rFonts w:ascii="Arial" w:eastAsia="Times New Roman" w:hAnsi="Arial" w:cs="Arial"/>
          <w:bCs/>
          <w:lang w:eastAsia="en-AU"/>
        </w:rPr>
        <w:t>, or the cells under the courthouse</w:t>
      </w:r>
      <w:r w:rsidRPr="00140250">
        <w:rPr>
          <w:rFonts w:ascii="Arial" w:eastAsia="Times New Roman" w:hAnsi="Arial" w:cs="Arial"/>
          <w:bCs/>
          <w:lang w:eastAsia="en-AU"/>
        </w:rPr>
        <w:t xml:space="preserve"> in the NT will confirm the vast majority of those in </w:t>
      </w:r>
      <w:r w:rsidR="00CC00C4">
        <w:rPr>
          <w:rFonts w:ascii="Arial" w:eastAsia="Times New Roman" w:hAnsi="Arial" w:cs="Arial"/>
          <w:bCs/>
          <w:lang w:eastAsia="en-AU"/>
        </w:rPr>
        <w:t xml:space="preserve">police </w:t>
      </w:r>
      <w:r w:rsidRPr="00140250">
        <w:rPr>
          <w:rFonts w:ascii="Arial" w:eastAsia="Times New Roman" w:hAnsi="Arial" w:cs="Arial"/>
          <w:bCs/>
          <w:lang w:eastAsia="en-AU"/>
        </w:rPr>
        <w:t xml:space="preserve">custody are black. </w:t>
      </w:r>
    </w:p>
    <w:p w14:paraId="7CB0A628" w14:textId="77777777" w:rsidR="00502E31" w:rsidRPr="00140250" w:rsidRDefault="00502E31" w:rsidP="00502E31">
      <w:pPr>
        <w:rPr>
          <w:rFonts w:ascii="Arial" w:hAnsi="Arial" w:cs="Arial"/>
        </w:rPr>
      </w:pPr>
    </w:p>
    <w:p w14:paraId="1FE3368F" w14:textId="398D4AED" w:rsidR="00502E31" w:rsidRPr="00140250" w:rsidRDefault="00EC3FBB" w:rsidP="00502E31">
      <w:pPr>
        <w:rPr>
          <w:rFonts w:ascii="Arial" w:hAnsi="Arial" w:cs="Arial"/>
          <w:b/>
        </w:rPr>
      </w:pPr>
      <w:r>
        <w:rPr>
          <w:rFonts w:ascii="Arial" w:hAnsi="Arial" w:cs="Arial"/>
          <w:b/>
        </w:rPr>
        <w:t>Part 2: CNS history</w:t>
      </w:r>
    </w:p>
    <w:p w14:paraId="368E4925" w14:textId="77777777" w:rsidR="00B15EC2" w:rsidRPr="00140250" w:rsidRDefault="00B15EC2" w:rsidP="00502E31">
      <w:pPr>
        <w:rPr>
          <w:rFonts w:ascii="Arial" w:hAnsi="Arial" w:cs="Arial"/>
        </w:rPr>
      </w:pPr>
    </w:p>
    <w:p w14:paraId="0B98E32A" w14:textId="1991A2FC" w:rsidR="001D6057" w:rsidRPr="00140250" w:rsidRDefault="00B15EC2" w:rsidP="00665F1F">
      <w:pPr>
        <w:autoSpaceDE w:val="0"/>
        <w:autoSpaceDN w:val="0"/>
        <w:adjustRightInd w:val="0"/>
        <w:rPr>
          <w:rFonts w:ascii="Arial" w:hAnsi="Arial" w:cs="Arial"/>
          <w:b/>
          <w:lang w:val="en-US"/>
        </w:rPr>
      </w:pPr>
      <w:r w:rsidRPr="00140250">
        <w:rPr>
          <w:rFonts w:ascii="Arial" w:hAnsi="Arial" w:cs="Arial"/>
        </w:rPr>
        <w:t xml:space="preserve">Which brings us </w:t>
      </w:r>
      <w:r w:rsidR="00F04285" w:rsidRPr="00140250">
        <w:rPr>
          <w:rFonts w:ascii="Arial" w:hAnsi="Arial" w:cs="Arial"/>
        </w:rPr>
        <w:t xml:space="preserve">back </w:t>
      </w:r>
      <w:r w:rsidRPr="00140250">
        <w:rPr>
          <w:rFonts w:ascii="Arial" w:hAnsi="Arial" w:cs="Arial"/>
        </w:rPr>
        <w:t xml:space="preserve">to the Royal Commission into Aboriginal Deaths in Custody. </w:t>
      </w:r>
      <w:bookmarkStart w:id="12" w:name="_Hlk93916032"/>
      <w:r w:rsidR="000B174B">
        <w:rPr>
          <w:rFonts w:ascii="Arial" w:hAnsi="Arial" w:cs="Arial"/>
        </w:rPr>
        <w:t>It was e</w:t>
      </w:r>
      <w:r w:rsidRPr="00140250">
        <w:rPr>
          <w:rFonts w:ascii="Arial" w:hAnsi="Arial" w:cs="Arial"/>
        </w:rPr>
        <w:t xml:space="preserve">stablished in 1987 by the Hawke Labour Government in response to the growing mistrust, </w:t>
      </w:r>
      <w:r w:rsidR="00CC00C4" w:rsidRPr="00140250">
        <w:rPr>
          <w:rFonts w:ascii="Arial" w:hAnsi="Arial" w:cs="Arial"/>
        </w:rPr>
        <w:t>suspicion,</w:t>
      </w:r>
      <w:r w:rsidRPr="00140250">
        <w:rPr>
          <w:rFonts w:ascii="Arial" w:hAnsi="Arial" w:cs="Arial"/>
        </w:rPr>
        <w:t xml:space="preserve"> and disquiet amongst Aboriginals about police conduct in watch houses and stations, where Aboriginal people were dying in custody at an alarming rate. </w:t>
      </w:r>
      <w:bookmarkEnd w:id="12"/>
      <w:r w:rsidRPr="00140250">
        <w:rPr>
          <w:rFonts w:ascii="Arial" w:hAnsi="Arial" w:cs="Arial"/>
        </w:rPr>
        <w:t>The Royal Commission ran for 5 years</w:t>
      </w:r>
      <w:r w:rsidR="009D62DA">
        <w:rPr>
          <w:rFonts w:ascii="Arial" w:hAnsi="Arial" w:cs="Arial"/>
        </w:rPr>
        <w:t xml:space="preserve"> and</w:t>
      </w:r>
      <w:r w:rsidRPr="00140250">
        <w:rPr>
          <w:rFonts w:ascii="Arial" w:hAnsi="Arial" w:cs="Arial"/>
        </w:rPr>
        <w:t xml:space="preserve"> was </w:t>
      </w:r>
      <w:r w:rsidR="009D62DA">
        <w:rPr>
          <w:rFonts w:ascii="Arial" w:hAnsi="Arial" w:cs="Arial"/>
        </w:rPr>
        <w:t xml:space="preserve">a </w:t>
      </w:r>
      <w:r w:rsidRPr="00140250">
        <w:rPr>
          <w:rFonts w:ascii="Arial" w:hAnsi="Arial" w:cs="Arial"/>
        </w:rPr>
        <w:t>broad ranging and comprehensive</w:t>
      </w:r>
      <w:r w:rsidR="009D62DA">
        <w:rPr>
          <w:rFonts w:ascii="Arial" w:hAnsi="Arial" w:cs="Arial"/>
        </w:rPr>
        <w:t>. It</w:t>
      </w:r>
      <w:r w:rsidR="00497AF4" w:rsidRPr="00140250">
        <w:rPr>
          <w:rFonts w:ascii="Arial" w:hAnsi="Arial" w:cs="Arial"/>
        </w:rPr>
        <w:t xml:space="preserve"> examined the social, </w:t>
      </w:r>
      <w:proofErr w:type="gramStart"/>
      <w:r w:rsidR="00497AF4" w:rsidRPr="00140250">
        <w:rPr>
          <w:rFonts w:ascii="Arial" w:hAnsi="Arial" w:cs="Arial"/>
        </w:rPr>
        <w:t>cultural</w:t>
      </w:r>
      <w:proofErr w:type="gramEnd"/>
      <w:r w:rsidR="00497AF4" w:rsidRPr="00140250">
        <w:rPr>
          <w:rFonts w:ascii="Arial" w:hAnsi="Arial" w:cs="Arial"/>
        </w:rPr>
        <w:t xml:space="preserve"> and legal factors contributing to Aboriginal and Torres Strait Islander deaths in custody</w:t>
      </w:r>
      <w:r w:rsidRPr="00140250">
        <w:rPr>
          <w:rFonts w:ascii="Arial" w:hAnsi="Arial" w:cs="Arial"/>
        </w:rPr>
        <w:t xml:space="preserve">. </w:t>
      </w:r>
      <w:bookmarkStart w:id="13" w:name="_Hlk93916232"/>
      <w:r w:rsidRPr="00140250">
        <w:rPr>
          <w:rFonts w:ascii="Arial" w:hAnsi="Arial" w:cs="Arial"/>
        </w:rPr>
        <w:t xml:space="preserve">The final </w:t>
      </w:r>
      <w:r w:rsidRPr="00140250">
        <w:rPr>
          <w:rFonts w:ascii="Arial" w:hAnsi="Arial" w:cs="Arial"/>
          <w:color w:val="000000"/>
        </w:rPr>
        <w:t>report highlighted the “massive” over-representation of Aboriginal people in custody, and the risks they face in police custody, through inadequate physical and mental health screening, language barriers, and lack of access to competent and culturally appropriate legal advice</w:t>
      </w:r>
      <w:r w:rsidR="00BC0307">
        <w:rPr>
          <w:rStyle w:val="FootnoteReference"/>
          <w:rFonts w:ascii="Arial" w:hAnsi="Arial" w:cs="Arial"/>
          <w:color w:val="000000"/>
        </w:rPr>
        <w:footnoteReference w:id="58"/>
      </w:r>
      <w:r w:rsidRPr="00140250">
        <w:rPr>
          <w:rFonts w:ascii="Arial" w:hAnsi="Arial" w:cs="Arial"/>
          <w:color w:val="000000"/>
        </w:rPr>
        <w:t xml:space="preserve">. </w:t>
      </w:r>
      <w:bookmarkEnd w:id="13"/>
      <w:r w:rsidRPr="00140250">
        <w:rPr>
          <w:rFonts w:ascii="Arial" w:hAnsi="Arial" w:cs="Arial"/>
          <w:color w:val="000000"/>
        </w:rPr>
        <w:t>The Commissioners handed down 339 recommendations</w:t>
      </w:r>
      <w:r w:rsidR="009D62DA">
        <w:rPr>
          <w:rFonts w:ascii="Arial" w:hAnsi="Arial" w:cs="Arial"/>
          <w:color w:val="000000"/>
        </w:rPr>
        <w:t>.</w:t>
      </w:r>
      <w:r w:rsidRPr="00140250">
        <w:rPr>
          <w:rFonts w:ascii="Arial" w:hAnsi="Arial" w:cs="Arial"/>
          <w:color w:val="000000"/>
        </w:rPr>
        <w:t xml:space="preserve"> </w:t>
      </w:r>
      <w:r w:rsidRPr="00140250">
        <w:rPr>
          <w:rFonts w:ascii="Arial" w:hAnsi="Arial" w:cs="Arial"/>
          <w:color w:val="000000"/>
          <w:shd w:val="clear" w:color="auto" w:fill="FFFFFF"/>
        </w:rPr>
        <w:t>One of those recommendations was for the police to negotiate local protocol agreements with the Aboriginal community to address the procedures and rules for the interaction between the two, including to require mandatory notification of Aboriginal Legal Services when police take an Aboriginal person into their custody</w:t>
      </w:r>
      <w:r w:rsidR="002619E4" w:rsidRPr="00140250">
        <w:rPr>
          <w:rStyle w:val="FootnoteReference"/>
          <w:rFonts w:ascii="Arial" w:hAnsi="Arial" w:cs="Arial"/>
          <w:color w:val="000000"/>
          <w:shd w:val="clear" w:color="auto" w:fill="FFFFFF"/>
        </w:rPr>
        <w:footnoteReference w:id="59"/>
      </w:r>
      <w:r w:rsidRPr="00140250">
        <w:rPr>
          <w:rFonts w:ascii="Arial" w:hAnsi="Arial" w:cs="Arial"/>
          <w:color w:val="000000"/>
          <w:shd w:val="clear" w:color="auto" w:fill="FFFFFF"/>
        </w:rPr>
        <w:t xml:space="preserve">. This was to ensure independent scrutiny of police conduct during </w:t>
      </w:r>
      <w:r w:rsidR="002F4438" w:rsidRPr="00140250">
        <w:rPr>
          <w:rFonts w:ascii="Arial" w:hAnsi="Arial" w:cs="Arial"/>
          <w:color w:val="000000"/>
          <w:shd w:val="clear" w:color="auto" w:fill="FFFFFF"/>
        </w:rPr>
        <w:t xml:space="preserve">the </w:t>
      </w:r>
      <w:r w:rsidR="001D6057" w:rsidRPr="00140250">
        <w:rPr>
          <w:rFonts w:ascii="Arial" w:hAnsi="Arial" w:cs="Arial"/>
          <w:color w:val="000000"/>
          <w:shd w:val="clear" w:color="auto" w:fill="FFFFFF"/>
        </w:rPr>
        <w:t>time the person remained in their custody and to ensure the person was kept safe</w:t>
      </w:r>
      <w:r w:rsidRPr="00140250">
        <w:rPr>
          <w:rFonts w:ascii="Arial" w:hAnsi="Arial" w:cs="Arial"/>
          <w:color w:val="000000"/>
          <w:shd w:val="clear" w:color="auto" w:fill="FFFFFF"/>
        </w:rPr>
        <w:t xml:space="preserve"> </w:t>
      </w:r>
      <w:r w:rsidR="001D6057" w:rsidRPr="00140250">
        <w:rPr>
          <w:rFonts w:ascii="Arial" w:hAnsi="Arial" w:cs="Arial"/>
          <w:color w:val="000000"/>
          <w:shd w:val="clear" w:color="auto" w:fill="FFFFFF"/>
        </w:rPr>
        <w:t xml:space="preserve">and </w:t>
      </w:r>
      <w:r w:rsidR="00CA29AC" w:rsidRPr="00140250">
        <w:rPr>
          <w:rFonts w:ascii="Arial" w:hAnsi="Arial" w:cs="Arial"/>
          <w:color w:val="000000"/>
          <w:shd w:val="clear" w:color="auto" w:fill="FFFFFF"/>
        </w:rPr>
        <w:t xml:space="preserve">was </w:t>
      </w:r>
      <w:r w:rsidR="001D6057" w:rsidRPr="00140250">
        <w:rPr>
          <w:rFonts w:ascii="Arial" w:hAnsi="Arial" w:cs="Arial"/>
          <w:color w:val="000000"/>
          <w:shd w:val="clear" w:color="auto" w:fill="FFFFFF"/>
        </w:rPr>
        <w:t>being looked after appropriately</w:t>
      </w:r>
      <w:r w:rsidR="00427B96" w:rsidRPr="00140250">
        <w:rPr>
          <w:rFonts w:ascii="Arial" w:hAnsi="Arial" w:cs="Arial"/>
          <w:color w:val="000000"/>
          <w:shd w:val="clear" w:color="auto" w:fill="FFFFFF"/>
        </w:rPr>
        <w:t>. It was also designed to ensure “</w:t>
      </w:r>
      <w:r w:rsidR="00427B96" w:rsidRPr="00140250">
        <w:rPr>
          <w:rFonts w:ascii="Arial" w:hAnsi="Arial" w:cs="Arial"/>
        </w:rPr>
        <w:t>Aboriginal people receive</w:t>
      </w:r>
      <w:r w:rsidR="00CA29AC" w:rsidRPr="00140250">
        <w:rPr>
          <w:rFonts w:ascii="Arial" w:hAnsi="Arial" w:cs="Arial"/>
        </w:rPr>
        <w:t>d</w:t>
      </w:r>
      <w:r w:rsidR="00427B96" w:rsidRPr="00140250">
        <w:rPr>
          <w:rFonts w:ascii="Arial" w:hAnsi="Arial" w:cs="Arial"/>
        </w:rPr>
        <w:t xml:space="preserve"> legal advice in a culturally sensitive manner at the earliest possible opportunity in order to prevent them from acquiescing to police demands in a</w:t>
      </w:r>
      <w:r w:rsidR="00CA29AC" w:rsidRPr="00140250">
        <w:rPr>
          <w:rFonts w:ascii="Arial" w:hAnsi="Arial" w:cs="Arial"/>
        </w:rPr>
        <w:t xml:space="preserve"> way</w:t>
      </w:r>
      <w:r w:rsidR="00427B96" w:rsidRPr="00140250">
        <w:rPr>
          <w:rFonts w:ascii="Arial" w:hAnsi="Arial" w:cs="Arial"/>
        </w:rPr>
        <w:t xml:space="preserve"> which could jeopardise subsequent court proceedings”</w:t>
      </w:r>
      <w:r w:rsidR="00427B96" w:rsidRPr="00140250">
        <w:rPr>
          <w:rStyle w:val="FootnoteReference"/>
          <w:rFonts w:ascii="Arial" w:hAnsi="Arial" w:cs="Arial"/>
        </w:rPr>
        <w:footnoteReference w:id="60"/>
      </w:r>
      <w:r w:rsidR="001D6057" w:rsidRPr="00140250">
        <w:rPr>
          <w:rFonts w:ascii="Arial" w:hAnsi="Arial" w:cs="Arial"/>
          <w:color w:val="000000"/>
          <w:shd w:val="clear" w:color="auto" w:fill="FFFFFF"/>
        </w:rPr>
        <w:t xml:space="preserve">. </w:t>
      </w:r>
      <w:r w:rsidR="00981841" w:rsidRPr="00140250">
        <w:rPr>
          <w:rFonts w:ascii="Arial" w:hAnsi="Arial" w:cs="Arial"/>
          <w:color w:val="000000"/>
          <w:shd w:val="clear" w:color="auto" w:fill="FFFFFF"/>
        </w:rPr>
        <w:t>Local agreements were negotiated but they were inconsistent</w:t>
      </w:r>
      <w:r w:rsidR="002B22E8">
        <w:rPr>
          <w:rFonts w:ascii="Arial" w:hAnsi="Arial" w:cs="Arial"/>
          <w:color w:val="000000"/>
          <w:shd w:val="clear" w:color="auto" w:fill="FFFFFF"/>
        </w:rPr>
        <w:t>,</w:t>
      </w:r>
      <w:r w:rsidR="00981841" w:rsidRPr="00140250">
        <w:rPr>
          <w:rFonts w:ascii="Arial" w:hAnsi="Arial" w:cs="Arial"/>
          <w:color w:val="000000"/>
          <w:shd w:val="clear" w:color="auto" w:fill="FFFFFF"/>
        </w:rPr>
        <w:t xml:space="preserve"> and </w:t>
      </w:r>
      <w:r w:rsidR="004C1C79" w:rsidRPr="00140250">
        <w:rPr>
          <w:rFonts w:ascii="Arial" w:hAnsi="Arial" w:cs="Arial"/>
          <w:color w:val="000000"/>
          <w:shd w:val="clear" w:color="auto" w:fill="FFFFFF"/>
        </w:rPr>
        <w:t>not all were mandato</w:t>
      </w:r>
      <w:r w:rsidR="00BF14F9" w:rsidRPr="00140250">
        <w:rPr>
          <w:rFonts w:ascii="Arial" w:hAnsi="Arial" w:cs="Arial"/>
          <w:color w:val="000000"/>
          <w:shd w:val="clear" w:color="auto" w:fill="FFFFFF"/>
        </w:rPr>
        <w:t>ry</w:t>
      </w:r>
      <w:r w:rsidR="002619E4" w:rsidRPr="00140250">
        <w:rPr>
          <w:rFonts w:ascii="Arial" w:hAnsi="Arial" w:cs="Arial"/>
          <w:color w:val="000000"/>
          <w:shd w:val="clear" w:color="auto" w:fill="FFFFFF"/>
        </w:rPr>
        <w:t xml:space="preserve">. The least </w:t>
      </w:r>
      <w:r w:rsidR="009D62DA">
        <w:rPr>
          <w:rFonts w:ascii="Arial" w:hAnsi="Arial" w:cs="Arial"/>
          <w:color w:val="000000"/>
          <w:shd w:val="clear" w:color="auto" w:fill="FFFFFF"/>
        </w:rPr>
        <w:t xml:space="preserve">amount of </w:t>
      </w:r>
      <w:r w:rsidR="002619E4" w:rsidRPr="00140250">
        <w:rPr>
          <w:rFonts w:ascii="Arial" w:hAnsi="Arial" w:cs="Arial"/>
          <w:color w:val="000000"/>
          <w:shd w:val="clear" w:color="auto" w:fill="FFFFFF"/>
        </w:rPr>
        <w:t xml:space="preserve">progress </w:t>
      </w:r>
      <w:r w:rsidR="002B22E8">
        <w:rPr>
          <w:rFonts w:ascii="Arial" w:hAnsi="Arial" w:cs="Arial"/>
          <w:color w:val="000000"/>
          <w:shd w:val="clear" w:color="auto" w:fill="FFFFFF"/>
        </w:rPr>
        <w:t>on</w:t>
      </w:r>
      <w:r w:rsidR="00140250">
        <w:rPr>
          <w:rFonts w:ascii="Arial" w:hAnsi="Arial" w:cs="Arial"/>
          <w:color w:val="000000"/>
          <w:shd w:val="clear" w:color="auto" w:fill="FFFFFF"/>
        </w:rPr>
        <w:t xml:space="preserve"> </w:t>
      </w:r>
      <w:r w:rsidR="002B22E8">
        <w:rPr>
          <w:rFonts w:ascii="Arial" w:hAnsi="Arial" w:cs="Arial"/>
          <w:color w:val="000000"/>
          <w:shd w:val="clear" w:color="auto" w:fill="FFFFFF"/>
        </w:rPr>
        <w:t xml:space="preserve">these </w:t>
      </w:r>
      <w:r w:rsidR="00140250">
        <w:rPr>
          <w:rFonts w:ascii="Arial" w:hAnsi="Arial" w:cs="Arial"/>
          <w:color w:val="000000"/>
          <w:shd w:val="clear" w:color="auto" w:fill="FFFFFF"/>
        </w:rPr>
        <w:t>Local Protocol agreements w</w:t>
      </w:r>
      <w:r w:rsidR="002B22E8">
        <w:rPr>
          <w:rFonts w:ascii="Arial" w:hAnsi="Arial" w:cs="Arial"/>
          <w:color w:val="000000"/>
          <w:shd w:val="clear" w:color="auto" w:fill="FFFFFF"/>
        </w:rPr>
        <w:t>as</w:t>
      </w:r>
      <w:r w:rsidR="00140250">
        <w:rPr>
          <w:rFonts w:ascii="Arial" w:hAnsi="Arial" w:cs="Arial"/>
          <w:color w:val="000000"/>
          <w:shd w:val="clear" w:color="auto" w:fill="FFFFFF"/>
        </w:rPr>
        <w:t xml:space="preserve"> in WA and the NT</w:t>
      </w:r>
      <w:r w:rsidR="002619E4" w:rsidRPr="00140250">
        <w:rPr>
          <w:rFonts w:ascii="Arial" w:hAnsi="Arial" w:cs="Arial"/>
          <w:color w:val="000000"/>
          <w:shd w:val="clear" w:color="auto" w:fill="FFFFFF"/>
        </w:rPr>
        <w:t xml:space="preserve">, which had by far the highest rates of Aboriginal deaths in custody between </w:t>
      </w:r>
      <w:r w:rsidR="00B4193F" w:rsidRPr="00140250">
        <w:rPr>
          <w:rFonts w:ascii="Arial" w:hAnsi="Arial" w:cs="Arial"/>
          <w:color w:val="000000"/>
          <w:shd w:val="clear" w:color="auto" w:fill="FFFFFF"/>
        </w:rPr>
        <w:t>2002</w:t>
      </w:r>
      <w:r w:rsidR="002619E4" w:rsidRPr="00140250">
        <w:rPr>
          <w:rFonts w:ascii="Arial" w:hAnsi="Arial" w:cs="Arial"/>
          <w:color w:val="000000"/>
          <w:shd w:val="clear" w:color="auto" w:fill="FFFFFF"/>
        </w:rPr>
        <w:t xml:space="preserve"> and 2013</w:t>
      </w:r>
      <w:r w:rsidR="002B22E8">
        <w:rPr>
          <w:rFonts w:ascii="Arial" w:hAnsi="Arial" w:cs="Arial"/>
          <w:color w:val="000000"/>
          <w:shd w:val="clear" w:color="auto" w:fill="FFFFFF"/>
        </w:rPr>
        <w:t xml:space="preserve"> (</w:t>
      </w:r>
      <w:r w:rsidR="002619E4" w:rsidRPr="00140250">
        <w:rPr>
          <w:rFonts w:ascii="Arial" w:hAnsi="Arial" w:cs="Arial"/>
          <w:color w:val="000000"/>
          <w:shd w:val="clear" w:color="auto" w:fill="FFFFFF"/>
        </w:rPr>
        <w:t xml:space="preserve">when </w:t>
      </w:r>
      <w:r w:rsidR="009D62DA">
        <w:rPr>
          <w:rFonts w:ascii="Arial" w:hAnsi="Arial" w:cs="Arial"/>
          <w:color w:val="000000"/>
          <w:shd w:val="clear" w:color="auto" w:fill="FFFFFF"/>
        </w:rPr>
        <w:t xml:space="preserve">there was publicly available </w:t>
      </w:r>
      <w:r w:rsidR="002619E4" w:rsidRPr="00140250">
        <w:rPr>
          <w:rFonts w:ascii="Arial" w:hAnsi="Arial" w:cs="Arial"/>
          <w:color w:val="000000"/>
          <w:shd w:val="clear" w:color="auto" w:fill="FFFFFF"/>
        </w:rPr>
        <w:t>data on this</w:t>
      </w:r>
      <w:r w:rsidR="002B22E8">
        <w:rPr>
          <w:rFonts w:ascii="Arial" w:hAnsi="Arial" w:cs="Arial"/>
          <w:color w:val="000000"/>
          <w:shd w:val="clear" w:color="auto" w:fill="FFFFFF"/>
        </w:rPr>
        <w:t>)</w:t>
      </w:r>
      <w:r w:rsidR="002619E4" w:rsidRPr="00140250">
        <w:rPr>
          <w:rStyle w:val="FootnoteReference"/>
          <w:rFonts w:ascii="Arial" w:hAnsi="Arial" w:cs="Arial"/>
          <w:color w:val="000000"/>
          <w:shd w:val="clear" w:color="auto" w:fill="FFFFFF"/>
        </w:rPr>
        <w:footnoteReference w:id="61"/>
      </w:r>
      <w:r w:rsidR="002619E4" w:rsidRPr="00140250">
        <w:rPr>
          <w:rFonts w:ascii="Arial" w:hAnsi="Arial" w:cs="Arial"/>
          <w:color w:val="000000"/>
          <w:shd w:val="clear" w:color="auto" w:fill="FFFFFF"/>
        </w:rPr>
        <w:t>.</w:t>
      </w:r>
      <w:r w:rsidR="00E8579B">
        <w:rPr>
          <w:rFonts w:ascii="Arial" w:hAnsi="Arial" w:cs="Arial"/>
          <w:color w:val="000000"/>
          <w:shd w:val="clear" w:color="auto" w:fill="FFFFFF"/>
        </w:rPr>
        <w:t xml:space="preserve"> </w:t>
      </w:r>
      <w:r w:rsidR="00CA2CB9" w:rsidRPr="00140250">
        <w:rPr>
          <w:rFonts w:ascii="Arial" w:hAnsi="Arial" w:cs="Arial"/>
          <w:color w:val="000000"/>
          <w:shd w:val="clear" w:color="auto" w:fill="FFFFFF"/>
        </w:rPr>
        <w:t>In the Northern Territory the relevant police general order</w:t>
      </w:r>
      <w:r w:rsidR="00CA2CB9" w:rsidRPr="00140250">
        <w:rPr>
          <w:rStyle w:val="FootnoteReference"/>
          <w:rFonts w:ascii="Arial" w:hAnsi="Arial" w:cs="Arial"/>
          <w:color w:val="000000"/>
          <w:shd w:val="clear" w:color="auto" w:fill="FFFFFF"/>
        </w:rPr>
        <w:footnoteReference w:id="62"/>
      </w:r>
      <w:r w:rsidR="00CA2CB9" w:rsidRPr="00140250">
        <w:rPr>
          <w:rFonts w:ascii="Arial" w:hAnsi="Arial" w:cs="Arial"/>
          <w:color w:val="000000"/>
          <w:shd w:val="clear" w:color="auto" w:fill="FFFFFF"/>
        </w:rPr>
        <w:t xml:space="preserve"> </w:t>
      </w:r>
      <w:r w:rsidR="00BF14F9" w:rsidRPr="00140250">
        <w:rPr>
          <w:rFonts w:ascii="Arial" w:hAnsi="Arial" w:cs="Arial"/>
          <w:color w:val="000000"/>
          <w:shd w:val="clear" w:color="auto" w:fill="FFFFFF"/>
        </w:rPr>
        <w:t>encouraged Custody Sergeants to negotiate local protocol</w:t>
      </w:r>
      <w:r w:rsidR="00E8579B">
        <w:rPr>
          <w:rFonts w:ascii="Arial" w:hAnsi="Arial" w:cs="Arial"/>
          <w:color w:val="000000"/>
          <w:shd w:val="clear" w:color="auto" w:fill="FFFFFF"/>
        </w:rPr>
        <w:t xml:space="preserve"> agreements</w:t>
      </w:r>
      <w:r w:rsidR="00BF14F9" w:rsidRPr="00140250">
        <w:rPr>
          <w:rFonts w:ascii="Arial" w:hAnsi="Arial" w:cs="Arial"/>
          <w:color w:val="000000"/>
          <w:shd w:val="clear" w:color="auto" w:fill="FFFFFF"/>
        </w:rPr>
        <w:t xml:space="preserve"> with the ALS</w:t>
      </w:r>
      <w:r w:rsidR="00CA2CB9" w:rsidRPr="00140250">
        <w:rPr>
          <w:rFonts w:ascii="Arial" w:hAnsi="Arial" w:cs="Arial"/>
          <w:color w:val="000000"/>
          <w:shd w:val="clear" w:color="auto" w:fill="FFFFFF"/>
        </w:rPr>
        <w:t xml:space="preserve"> but in practice, the only arrangement</w:t>
      </w:r>
      <w:r w:rsidR="00BF14F9" w:rsidRPr="00140250">
        <w:rPr>
          <w:rFonts w:ascii="Arial" w:hAnsi="Arial" w:cs="Arial"/>
          <w:color w:val="000000"/>
          <w:shd w:val="clear" w:color="auto" w:fill="FFFFFF"/>
        </w:rPr>
        <w:t>s in place were</w:t>
      </w:r>
      <w:r w:rsidR="00CA2CB9" w:rsidRPr="00140250">
        <w:rPr>
          <w:rFonts w:ascii="Arial" w:hAnsi="Arial" w:cs="Arial"/>
          <w:color w:val="000000"/>
          <w:shd w:val="clear" w:color="auto" w:fill="FFFFFF"/>
        </w:rPr>
        <w:t xml:space="preserve"> for the police to contact </w:t>
      </w:r>
      <w:r w:rsidR="002B22E8">
        <w:rPr>
          <w:rFonts w:ascii="Arial" w:hAnsi="Arial" w:cs="Arial"/>
          <w:color w:val="000000"/>
          <w:shd w:val="clear" w:color="auto" w:fill="FFFFFF"/>
        </w:rPr>
        <w:t>the ALS on an</w:t>
      </w:r>
      <w:r w:rsidR="00BF14F9" w:rsidRPr="00140250">
        <w:rPr>
          <w:rFonts w:ascii="Arial" w:hAnsi="Arial" w:cs="Arial"/>
          <w:color w:val="000000"/>
          <w:shd w:val="clear" w:color="auto" w:fill="FFFFFF"/>
        </w:rPr>
        <w:t xml:space="preserve"> </w:t>
      </w:r>
      <w:r w:rsidR="002F4438" w:rsidRPr="00140250">
        <w:rPr>
          <w:rFonts w:ascii="Arial" w:hAnsi="Arial" w:cs="Arial"/>
          <w:color w:val="000000"/>
          <w:shd w:val="clear" w:color="auto" w:fill="FFFFFF"/>
        </w:rPr>
        <w:t>after-hours</w:t>
      </w:r>
      <w:r w:rsidR="00BF14F9" w:rsidRPr="00140250">
        <w:rPr>
          <w:rFonts w:ascii="Arial" w:hAnsi="Arial" w:cs="Arial"/>
          <w:color w:val="000000"/>
          <w:shd w:val="clear" w:color="auto" w:fill="FFFFFF"/>
        </w:rPr>
        <w:t xml:space="preserve"> mobile number </w:t>
      </w:r>
      <w:r w:rsidR="00BF14F9" w:rsidRPr="00140250">
        <w:rPr>
          <w:rFonts w:ascii="Arial" w:hAnsi="Arial" w:cs="Arial"/>
          <w:color w:val="000000"/>
          <w:u w:val="single"/>
          <w:shd w:val="clear" w:color="auto" w:fill="FFFFFF"/>
        </w:rPr>
        <w:t>if</w:t>
      </w:r>
      <w:r w:rsidR="00CA2CB9" w:rsidRPr="00140250">
        <w:rPr>
          <w:rFonts w:ascii="Arial" w:hAnsi="Arial" w:cs="Arial"/>
          <w:color w:val="000000"/>
          <w:u w:val="single"/>
          <w:shd w:val="clear" w:color="auto" w:fill="FFFFFF"/>
        </w:rPr>
        <w:t xml:space="preserve"> </w:t>
      </w:r>
      <w:r w:rsidR="00CA2CB9" w:rsidRPr="00140250">
        <w:rPr>
          <w:rFonts w:ascii="Arial" w:hAnsi="Arial" w:cs="Arial"/>
          <w:color w:val="000000"/>
          <w:shd w:val="clear" w:color="auto" w:fill="FFFFFF"/>
        </w:rPr>
        <w:t xml:space="preserve">requested to do so by the person in </w:t>
      </w:r>
      <w:r w:rsidR="00E8579B">
        <w:rPr>
          <w:rFonts w:ascii="Arial" w:hAnsi="Arial" w:cs="Arial"/>
          <w:color w:val="000000"/>
          <w:shd w:val="clear" w:color="auto" w:fill="FFFFFF"/>
        </w:rPr>
        <w:t>custody (r</w:t>
      </w:r>
      <w:r w:rsidR="00F35933">
        <w:rPr>
          <w:rFonts w:ascii="Arial" w:hAnsi="Arial" w:cs="Arial"/>
          <w:color w:val="000000"/>
          <w:shd w:val="clear" w:color="auto" w:fill="FFFFFF"/>
        </w:rPr>
        <w:t>emember</w:t>
      </w:r>
      <w:r w:rsidR="002B6564">
        <w:rPr>
          <w:rFonts w:ascii="Arial" w:hAnsi="Arial" w:cs="Arial"/>
          <w:color w:val="000000"/>
          <w:shd w:val="clear" w:color="auto" w:fill="FFFFFF"/>
        </w:rPr>
        <w:t>in</w:t>
      </w:r>
      <w:r w:rsidR="00E8579B">
        <w:rPr>
          <w:rFonts w:ascii="Arial" w:hAnsi="Arial" w:cs="Arial"/>
          <w:color w:val="000000"/>
          <w:shd w:val="clear" w:color="auto" w:fill="FFFFFF"/>
        </w:rPr>
        <w:t>g</w:t>
      </w:r>
      <w:r w:rsidR="00BF14F9" w:rsidRPr="00140250">
        <w:rPr>
          <w:rFonts w:ascii="Arial" w:hAnsi="Arial" w:cs="Arial"/>
          <w:color w:val="000000"/>
          <w:shd w:val="clear" w:color="auto" w:fill="FFFFFF"/>
        </w:rPr>
        <w:t xml:space="preserve"> </w:t>
      </w:r>
      <w:r w:rsidR="00CA2CB9" w:rsidRPr="00140250">
        <w:rPr>
          <w:rFonts w:ascii="Arial" w:hAnsi="Arial" w:cs="Arial"/>
          <w:color w:val="000000"/>
          <w:shd w:val="clear" w:color="auto" w:fill="FFFFFF"/>
        </w:rPr>
        <w:t>that in the</w:t>
      </w:r>
      <w:r w:rsidR="003A6CB0">
        <w:rPr>
          <w:rFonts w:ascii="Arial" w:hAnsi="Arial" w:cs="Arial"/>
          <w:color w:val="000000"/>
          <w:shd w:val="clear" w:color="auto" w:fill="FFFFFF"/>
        </w:rPr>
        <w:t xml:space="preserve"> NT th</w:t>
      </w:r>
      <w:r w:rsidR="002B6564">
        <w:rPr>
          <w:rFonts w:ascii="Arial" w:hAnsi="Arial" w:cs="Arial"/>
          <w:color w:val="000000"/>
          <w:shd w:val="clear" w:color="auto" w:fill="FFFFFF"/>
        </w:rPr>
        <w:t>ose</w:t>
      </w:r>
      <w:r w:rsidR="00BF14F9" w:rsidRPr="00140250">
        <w:rPr>
          <w:rFonts w:ascii="Arial" w:hAnsi="Arial" w:cs="Arial"/>
          <w:color w:val="000000"/>
          <w:shd w:val="clear" w:color="auto" w:fill="FFFFFF"/>
        </w:rPr>
        <w:t xml:space="preserve"> in custody are</w:t>
      </w:r>
      <w:r w:rsidR="00CA2CB9" w:rsidRPr="00140250">
        <w:rPr>
          <w:rFonts w:ascii="Arial" w:hAnsi="Arial" w:cs="Arial"/>
          <w:color w:val="000000"/>
          <w:shd w:val="clear" w:color="auto" w:fill="FFFFFF"/>
        </w:rPr>
        <w:t xml:space="preserve"> not informed of their right to speak to a lawyer or legal service</w:t>
      </w:r>
      <w:r w:rsidR="00E8579B">
        <w:rPr>
          <w:rFonts w:ascii="Arial" w:hAnsi="Arial" w:cs="Arial"/>
          <w:color w:val="000000"/>
          <w:shd w:val="clear" w:color="auto" w:fill="FFFFFF"/>
        </w:rPr>
        <w:t>)</w:t>
      </w:r>
      <w:r w:rsidR="00CA2CB9" w:rsidRPr="00140250">
        <w:rPr>
          <w:rFonts w:ascii="Arial" w:hAnsi="Arial" w:cs="Arial"/>
          <w:color w:val="000000"/>
          <w:shd w:val="clear" w:color="auto" w:fill="FFFFFF"/>
        </w:rPr>
        <w:t xml:space="preserve">.  </w:t>
      </w:r>
    </w:p>
    <w:p w14:paraId="034F8A1E" w14:textId="77777777" w:rsidR="00665F1F" w:rsidRPr="00140250" w:rsidRDefault="00665F1F" w:rsidP="00B15EC2">
      <w:pPr>
        <w:rPr>
          <w:rFonts w:ascii="Arial" w:hAnsi="Arial" w:cs="Arial"/>
          <w:b/>
          <w:lang w:val="en-US"/>
        </w:rPr>
      </w:pPr>
    </w:p>
    <w:p w14:paraId="1D725BCB" w14:textId="32F4B2AD" w:rsidR="001D6057" w:rsidRPr="00140250" w:rsidRDefault="001D6057" w:rsidP="00B15EC2">
      <w:pPr>
        <w:rPr>
          <w:rFonts w:ascii="Arial" w:hAnsi="Arial" w:cs="Arial"/>
          <w:b/>
          <w:color w:val="000000"/>
          <w:shd w:val="clear" w:color="auto" w:fill="FFFFFF"/>
        </w:rPr>
      </w:pPr>
      <w:r w:rsidRPr="00140250">
        <w:rPr>
          <w:rFonts w:ascii="Arial" w:hAnsi="Arial" w:cs="Arial"/>
          <w:b/>
          <w:lang w:val="en-US"/>
        </w:rPr>
        <w:t>U</w:t>
      </w:r>
      <w:r w:rsidR="00EC3FBB">
        <w:rPr>
          <w:rFonts w:ascii="Arial" w:hAnsi="Arial" w:cs="Arial"/>
          <w:b/>
          <w:lang w:val="en-US"/>
        </w:rPr>
        <w:t>ptake</w:t>
      </w:r>
      <w:r w:rsidR="00E8579B">
        <w:rPr>
          <w:rFonts w:ascii="Arial" w:hAnsi="Arial" w:cs="Arial"/>
          <w:b/>
          <w:lang w:val="en-US"/>
        </w:rPr>
        <w:t xml:space="preserve"> </w:t>
      </w:r>
    </w:p>
    <w:p w14:paraId="47384BBF" w14:textId="77777777" w:rsidR="00B15EC2" w:rsidRPr="00140250" w:rsidRDefault="00B15EC2" w:rsidP="00B15EC2">
      <w:pPr>
        <w:rPr>
          <w:rFonts w:ascii="Arial" w:hAnsi="Arial" w:cs="Arial"/>
          <w:color w:val="000000"/>
          <w:shd w:val="clear" w:color="auto" w:fill="FFFFFF"/>
        </w:rPr>
      </w:pPr>
    </w:p>
    <w:p w14:paraId="55BEB66D" w14:textId="77777777" w:rsidR="00CA2CB9" w:rsidRPr="00140250" w:rsidRDefault="002619E4" w:rsidP="00CA2CB9">
      <w:pPr>
        <w:autoSpaceDE w:val="0"/>
        <w:autoSpaceDN w:val="0"/>
        <w:adjustRightInd w:val="0"/>
        <w:rPr>
          <w:rFonts w:ascii="Arial" w:hAnsi="Arial" w:cs="Arial"/>
        </w:rPr>
      </w:pPr>
      <w:r w:rsidRPr="00140250">
        <w:rPr>
          <w:rFonts w:ascii="Arial" w:hAnsi="Arial" w:cs="Arial"/>
        </w:rPr>
        <w:t>The Commissioners also recommended that</w:t>
      </w:r>
      <w:r w:rsidR="00CA2CB9" w:rsidRPr="00140250">
        <w:rPr>
          <w:rFonts w:ascii="Arial" w:hAnsi="Arial" w:cs="Arial"/>
        </w:rPr>
        <w:t xml:space="preserve"> in jurisdictions </w:t>
      </w:r>
      <w:proofErr w:type="gramStart"/>
      <w:r w:rsidR="00CA2CB9" w:rsidRPr="00140250">
        <w:rPr>
          <w:rFonts w:ascii="Arial" w:hAnsi="Arial" w:cs="Arial"/>
        </w:rPr>
        <w:t>where</w:t>
      </w:r>
      <w:proofErr w:type="gramEnd"/>
      <w:r w:rsidR="00CA2CB9" w:rsidRPr="00140250">
        <w:rPr>
          <w:rFonts w:ascii="Arial" w:hAnsi="Arial" w:cs="Arial"/>
        </w:rPr>
        <w:t xml:space="preserve"> legislation, standing</w:t>
      </w:r>
    </w:p>
    <w:p w14:paraId="10695DD9" w14:textId="2271F174" w:rsidR="00CA2CB9" w:rsidRPr="00140250" w:rsidRDefault="00CA2CB9" w:rsidP="00CA2CB9">
      <w:pPr>
        <w:autoSpaceDE w:val="0"/>
        <w:autoSpaceDN w:val="0"/>
        <w:adjustRightInd w:val="0"/>
        <w:rPr>
          <w:rFonts w:ascii="Arial" w:hAnsi="Arial" w:cs="Arial"/>
        </w:rPr>
      </w:pPr>
      <w:r w:rsidRPr="00140250">
        <w:rPr>
          <w:rFonts w:ascii="Arial" w:hAnsi="Arial" w:cs="Arial"/>
        </w:rPr>
        <w:t>orders or instructions do not already provide, appropriate steps be taken to make it</w:t>
      </w:r>
    </w:p>
    <w:p w14:paraId="3542170A" w14:textId="77777777" w:rsidR="00CA2CB9" w:rsidRPr="00140250" w:rsidRDefault="00CA2CB9" w:rsidP="00CA2CB9">
      <w:pPr>
        <w:autoSpaceDE w:val="0"/>
        <w:autoSpaceDN w:val="0"/>
        <w:adjustRightInd w:val="0"/>
        <w:rPr>
          <w:rFonts w:ascii="Arial" w:hAnsi="Arial" w:cs="Arial"/>
        </w:rPr>
      </w:pPr>
      <w:r w:rsidRPr="00140250">
        <w:rPr>
          <w:rFonts w:ascii="Arial" w:hAnsi="Arial" w:cs="Arial"/>
        </w:rPr>
        <w:t>mandatory for Aboriginal Legal Services to be notified upon the arrest or detention of</w:t>
      </w:r>
    </w:p>
    <w:p w14:paraId="3E06C5EF" w14:textId="77777777" w:rsidR="00E8579B" w:rsidRDefault="00CA2CB9" w:rsidP="00427B96">
      <w:pPr>
        <w:autoSpaceDE w:val="0"/>
        <w:autoSpaceDN w:val="0"/>
        <w:adjustRightInd w:val="0"/>
        <w:rPr>
          <w:rFonts w:ascii="Arial" w:hAnsi="Arial" w:cs="Arial"/>
        </w:rPr>
      </w:pPr>
      <w:r w:rsidRPr="00140250">
        <w:rPr>
          <w:rFonts w:ascii="Arial" w:hAnsi="Arial" w:cs="Arial"/>
        </w:rPr>
        <w:t>any Aboriginal person</w:t>
      </w:r>
      <w:r w:rsidRPr="00140250">
        <w:rPr>
          <w:rStyle w:val="FootnoteReference"/>
          <w:rFonts w:ascii="Arial" w:hAnsi="Arial" w:cs="Arial"/>
        </w:rPr>
        <w:footnoteReference w:id="63"/>
      </w:r>
      <w:r w:rsidR="002619E4" w:rsidRPr="00140250">
        <w:rPr>
          <w:rFonts w:ascii="Arial" w:hAnsi="Arial" w:cs="Arial"/>
        </w:rPr>
        <w:t xml:space="preserve">. </w:t>
      </w:r>
      <w:r w:rsidR="00E8579B">
        <w:rPr>
          <w:rFonts w:ascii="Arial" w:hAnsi="Arial" w:cs="Arial"/>
        </w:rPr>
        <w:t>However, t</w:t>
      </w:r>
      <w:r w:rsidR="002619E4" w:rsidRPr="00140250">
        <w:rPr>
          <w:rFonts w:ascii="Arial" w:hAnsi="Arial" w:cs="Arial"/>
        </w:rPr>
        <w:t xml:space="preserve">he requirement to make mandatory a notification of an arrest is futile without an appropriately funded service to respond to the notifications. </w:t>
      </w:r>
    </w:p>
    <w:p w14:paraId="6486A6C5" w14:textId="77777777" w:rsidR="00E8579B" w:rsidRDefault="00E8579B" w:rsidP="00427B96">
      <w:pPr>
        <w:autoSpaceDE w:val="0"/>
        <w:autoSpaceDN w:val="0"/>
        <w:adjustRightInd w:val="0"/>
        <w:rPr>
          <w:rFonts w:ascii="Arial" w:hAnsi="Arial" w:cs="Arial"/>
        </w:rPr>
      </w:pPr>
    </w:p>
    <w:p w14:paraId="437A9FDE" w14:textId="1C780470" w:rsidR="00B15EC2" w:rsidRPr="00140250" w:rsidRDefault="002619E4" w:rsidP="00427B96">
      <w:pPr>
        <w:autoSpaceDE w:val="0"/>
        <w:autoSpaceDN w:val="0"/>
        <w:adjustRightInd w:val="0"/>
        <w:rPr>
          <w:rFonts w:ascii="Arial" w:hAnsi="Arial" w:cs="Arial"/>
        </w:rPr>
      </w:pPr>
      <w:r w:rsidRPr="00140250">
        <w:rPr>
          <w:rFonts w:ascii="Arial" w:hAnsi="Arial" w:cs="Arial"/>
        </w:rPr>
        <w:lastRenderedPageBreak/>
        <w:t>The first dedicated custody notification service was established in</w:t>
      </w:r>
      <w:r w:rsidR="00733C5D" w:rsidRPr="00140250">
        <w:rPr>
          <w:rFonts w:ascii="Arial" w:hAnsi="Arial" w:cs="Arial"/>
        </w:rPr>
        <w:t xml:space="preserve"> 2000 in</w:t>
      </w:r>
      <w:r w:rsidRPr="00140250">
        <w:rPr>
          <w:rFonts w:ascii="Arial" w:hAnsi="Arial" w:cs="Arial"/>
        </w:rPr>
        <w:t xml:space="preserve"> the NSW</w:t>
      </w:r>
      <w:r w:rsidR="00CA2CB9" w:rsidRPr="00140250">
        <w:rPr>
          <w:rFonts w:ascii="Arial" w:hAnsi="Arial" w:cs="Arial"/>
        </w:rPr>
        <w:t xml:space="preserve"> and the ACT</w:t>
      </w:r>
      <w:r w:rsidRPr="00140250">
        <w:rPr>
          <w:rFonts w:ascii="Arial" w:hAnsi="Arial" w:cs="Arial"/>
        </w:rPr>
        <w:t xml:space="preserve"> by ALS</w:t>
      </w:r>
      <w:r w:rsidR="00CA2CB9" w:rsidRPr="00140250">
        <w:rPr>
          <w:rFonts w:ascii="Arial" w:hAnsi="Arial" w:cs="Arial"/>
        </w:rPr>
        <w:t xml:space="preserve"> NSW</w:t>
      </w:r>
      <w:r w:rsidR="00733C5D" w:rsidRPr="00140250">
        <w:rPr>
          <w:rStyle w:val="FootnoteReference"/>
          <w:rFonts w:ascii="Arial" w:hAnsi="Arial" w:cs="Arial"/>
        </w:rPr>
        <w:footnoteReference w:id="64"/>
      </w:r>
      <w:r w:rsidR="00CA2CB9" w:rsidRPr="00140250">
        <w:rPr>
          <w:rFonts w:ascii="Arial" w:hAnsi="Arial" w:cs="Arial"/>
        </w:rPr>
        <w:t xml:space="preserve"> where the</w:t>
      </w:r>
      <w:r w:rsidRPr="00140250">
        <w:rPr>
          <w:rFonts w:ascii="Arial" w:hAnsi="Arial" w:cs="Arial"/>
        </w:rPr>
        <w:t xml:space="preserve"> requirement to notify the service was </w:t>
      </w:r>
      <w:r w:rsidR="00CA2CB9" w:rsidRPr="00140250">
        <w:rPr>
          <w:rFonts w:ascii="Arial" w:hAnsi="Arial" w:cs="Arial"/>
        </w:rPr>
        <w:t>enshrined in regulation. It remained the only such service</w:t>
      </w:r>
      <w:r w:rsidR="00381FF0">
        <w:rPr>
          <w:rFonts w:ascii="Arial" w:hAnsi="Arial" w:cs="Arial"/>
        </w:rPr>
        <w:t xml:space="preserve"> for almost two decades</w:t>
      </w:r>
      <w:r w:rsidR="00CA2CB9" w:rsidRPr="00140250">
        <w:rPr>
          <w:rFonts w:ascii="Arial" w:hAnsi="Arial" w:cs="Arial"/>
        </w:rPr>
        <w:t xml:space="preserve">. </w:t>
      </w:r>
      <w:r w:rsidR="004C1C79" w:rsidRPr="00140250">
        <w:rPr>
          <w:rFonts w:ascii="Arial" w:hAnsi="Arial" w:cs="Arial"/>
        </w:rPr>
        <w:t>In 2016 the</w:t>
      </w:r>
      <w:r w:rsidR="00CA29AC" w:rsidRPr="00140250">
        <w:rPr>
          <w:rFonts w:ascii="Arial" w:hAnsi="Arial" w:cs="Arial"/>
        </w:rPr>
        <w:t xml:space="preserve"> then</w:t>
      </w:r>
      <w:r w:rsidR="004C1C79" w:rsidRPr="00140250">
        <w:rPr>
          <w:rFonts w:ascii="Arial" w:hAnsi="Arial" w:cs="Arial"/>
        </w:rPr>
        <w:t xml:space="preserve"> Commonwealth Minister for Indigenous Affairs, Nigel Scullion, offered funding to commence custody notification services across the various jurisdictions</w:t>
      </w:r>
      <w:r w:rsidR="00CA2CB9" w:rsidRPr="00140250">
        <w:rPr>
          <w:rFonts w:ascii="Arial" w:hAnsi="Arial" w:cs="Arial"/>
        </w:rPr>
        <w:t xml:space="preserve"> but it</w:t>
      </w:r>
      <w:r w:rsidR="00045852" w:rsidRPr="00140250">
        <w:rPr>
          <w:rFonts w:ascii="Arial" w:hAnsi="Arial" w:cs="Arial"/>
        </w:rPr>
        <w:t xml:space="preserve"> wasn’t until the </w:t>
      </w:r>
      <w:bookmarkStart w:id="14" w:name="_Hlk92470244"/>
      <w:r w:rsidR="00045852" w:rsidRPr="00140250">
        <w:rPr>
          <w:rFonts w:ascii="Arial" w:hAnsi="Arial" w:cs="Arial"/>
        </w:rPr>
        <w:t>A</w:t>
      </w:r>
      <w:r w:rsidR="00CA29AC" w:rsidRPr="00140250">
        <w:rPr>
          <w:rFonts w:ascii="Arial" w:hAnsi="Arial" w:cs="Arial"/>
        </w:rPr>
        <w:t xml:space="preserve">ustralian Law Reform Commission (“ALRC”) </w:t>
      </w:r>
      <w:r w:rsidR="00045852" w:rsidRPr="00140250">
        <w:rPr>
          <w:rFonts w:ascii="Arial" w:hAnsi="Arial" w:cs="Arial"/>
        </w:rPr>
        <w:t>“</w:t>
      </w:r>
      <w:r w:rsidR="00045852" w:rsidRPr="00140250">
        <w:rPr>
          <w:rFonts w:ascii="Arial" w:hAnsi="Arial" w:cs="Arial"/>
          <w:bCs/>
          <w:color w:val="202124"/>
          <w:shd w:val="clear" w:color="auto" w:fill="FFFFFF"/>
        </w:rPr>
        <w:t>Pathways to Justice”</w:t>
      </w:r>
      <w:r w:rsidR="00045852" w:rsidRPr="00140250">
        <w:rPr>
          <w:rFonts w:ascii="Arial" w:hAnsi="Arial" w:cs="Arial"/>
          <w:color w:val="202124"/>
          <w:shd w:val="clear" w:color="auto" w:fill="FFFFFF"/>
        </w:rPr>
        <w:t xml:space="preserve"> Inquiry into the Incarceration Rate of Aboriginal and Torres Strait Islander Peoples</w:t>
      </w:r>
      <w:bookmarkEnd w:id="14"/>
      <w:r w:rsidR="00CC00C4">
        <w:rPr>
          <w:rStyle w:val="FootnoteReference"/>
          <w:rFonts w:ascii="Arial" w:hAnsi="Arial" w:cs="Arial"/>
          <w:color w:val="202124"/>
          <w:shd w:val="clear" w:color="auto" w:fill="FFFFFF"/>
        </w:rPr>
        <w:t xml:space="preserve"> </w:t>
      </w:r>
      <w:r w:rsidR="00045852" w:rsidRPr="00140250">
        <w:rPr>
          <w:rFonts w:ascii="Arial" w:hAnsi="Arial" w:cs="Arial"/>
        </w:rPr>
        <w:t xml:space="preserve">handed down its final report in </w:t>
      </w:r>
      <w:r w:rsidR="00153523">
        <w:rPr>
          <w:rFonts w:ascii="Arial" w:hAnsi="Arial" w:cs="Arial"/>
        </w:rPr>
        <w:t>late 2017</w:t>
      </w:r>
      <w:r w:rsidR="00045852" w:rsidRPr="00140250">
        <w:rPr>
          <w:rFonts w:ascii="Arial" w:hAnsi="Arial" w:cs="Arial"/>
        </w:rPr>
        <w:t xml:space="preserve"> that </w:t>
      </w:r>
      <w:r w:rsidR="00381FF0">
        <w:rPr>
          <w:rFonts w:ascii="Arial" w:hAnsi="Arial" w:cs="Arial"/>
        </w:rPr>
        <w:t>g</w:t>
      </w:r>
      <w:r w:rsidR="00045852" w:rsidRPr="00140250">
        <w:rPr>
          <w:rFonts w:ascii="Arial" w:hAnsi="Arial" w:cs="Arial"/>
        </w:rPr>
        <w:t>overnments in other jurisdictions took</w:t>
      </w:r>
      <w:r w:rsidR="00112F1A" w:rsidRPr="00140250">
        <w:rPr>
          <w:rFonts w:ascii="Arial" w:hAnsi="Arial" w:cs="Arial"/>
        </w:rPr>
        <w:t xml:space="preserve"> up the offer</w:t>
      </w:r>
      <w:r w:rsidR="00045852" w:rsidRPr="00140250">
        <w:rPr>
          <w:rFonts w:ascii="Arial" w:hAnsi="Arial" w:cs="Arial"/>
        </w:rPr>
        <w:t>.</w:t>
      </w:r>
      <w:r w:rsidR="004C1C79" w:rsidRPr="00140250">
        <w:rPr>
          <w:rFonts w:ascii="Arial" w:hAnsi="Arial" w:cs="Arial"/>
        </w:rPr>
        <w:t xml:space="preserve"> The </w:t>
      </w:r>
      <w:r w:rsidR="00CA2CB9" w:rsidRPr="00140250">
        <w:rPr>
          <w:rFonts w:ascii="Arial" w:hAnsi="Arial" w:cs="Arial"/>
        </w:rPr>
        <w:t>ALRC report</w:t>
      </w:r>
      <w:r w:rsidR="00427B96" w:rsidRPr="00140250">
        <w:rPr>
          <w:rFonts w:ascii="Arial" w:hAnsi="Arial" w:cs="Arial"/>
        </w:rPr>
        <w:t xml:space="preserve"> recommended th</w:t>
      </w:r>
      <w:r w:rsidR="00733C5D" w:rsidRPr="00140250">
        <w:rPr>
          <w:rFonts w:ascii="Arial" w:hAnsi="Arial" w:cs="Arial"/>
        </w:rPr>
        <w:t>e</w:t>
      </w:r>
      <w:r w:rsidR="00427B96" w:rsidRPr="00140250">
        <w:rPr>
          <w:rFonts w:ascii="Arial" w:hAnsi="Arial" w:cs="Arial"/>
        </w:rPr>
        <w:t xml:space="preserve"> “Commonwealth, state and territory governments should introduce a statutory requirement for police to contact an Aboriginal and Torres Strait Islander legal service, or equivalent service, as soon as possible after an Aboriginal and Torres Strait Islander person is detained in custody for any reason—including for</w:t>
      </w:r>
      <w:r w:rsidR="00B4193F" w:rsidRPr="00140250">
        <w:rPr>
          <w:rFonts w:ascii="Arial" w:hAnsi="Arial" w:cs="Arial"/>
        </w:rPr>
        <w:t xml:space="preserve"> </w:t>
      </w:r>
      <w:r w:rsidR="00427B96" w:rsidRPr="00140250">
        <w:rPr>
          <w:rFonts w:ascii="Arial" w:hAnsi="Arial" w:cs="Arial"/>
        </w:rPr>
        <w:t>protective reasons. A maximum period within which the notification must occur should be prescribed</w:t>
      </w:r>
      <w:r w:rsidR="00E8579B">
        <w:rPr>
          <w:rFonts w:ascii="Arial" w:hAnsi="Arial" w:cs="Arial"/>
        </w:rPr>
        <w:t>.</w:t>
      </w:r>
      <w:r w:rsidR="00427B96" w:rsidRPr="00140250">
        <w:rPr>
          <w:rFonts w:ascii="Arial" w:hAnsi="Arial" w:cs="Arial"/>
        </w:rPr>
        <w:t>”</w:t>
      </w:r>
      <w:r w:rsidR="00427B96" w:rsidRPr="00140250">
        <w:rPr>
          <w:rStyle w:val="FootnoteReference"/>
          <w:rFonts w:ascii="Arial" w:hAnsi="Arial" w:cs="Arial"/>
        </w:rPr>
        <w:footnoteReference w:id="65"/>
      </w:r>
      <w:r w:rsidR="00AD1902" w:rsidRPr="00140250">
        <w:rPr>
          <w:rFonts w:ascii="Arial" w:hAnsi="Arial" w:cs="Arial"/>
        </w:rPr>
        <w:t xml:space="preserve"> </w:t>
      </w:r>
    </w:p>
    <w:p w14:paraId="5253DB31" w14:textId="77777777" w:rsidR="00665F1F" w:rsidRPr="00140250" w:rsidRDefault="00665F1F" w:rsidP="00427B96">
      <w:pPr>
        <w:autoSpaceDE w:val="0"/>
        <w:autoSpaceDN w:val="0"/>
        <w:adjustRightInd w:val="0"/>
        <w:rPr>
          <w:rFonts w:ascii="Arial" w:hAnsi="Arial" w:cs="Arial"/>
        </w:rPr>
      </w:pPr>
    </w:p>
    <w:p w14:paraId="760CD4F1" w14:textId="41D113DC" w:rsidR="00665F1F" w:rsidRPr="00140250" w:rsidRDefault="00665F1F" w:rsidP="00665F1F">
      <w:pPr>
        <w:pStyle w:val="Pa8"/>
        <w:spacing w:before="200"/>
        <w:rPr>
          <w:rFonts w:ascii="Arial" w:hAnsi="Arial" w:cs="Arial"/>
          <w:color w:val="000000"/>
          <w:sz w:val="22"/>
          <w:szCs w:val="22"/>
        </w:rPr>
      </w:pPr>
      <w:r w:rsidRPr="00140250">
        <w:rPr>
          <w:rFonts w:ascii="Arial" w:hAnsi="Arial" w:cs="Arial"/>
          <w:sz w:val="22"/>
          <w:szCs w:val="22"/>
        </w:rPr>
        <w:t xml:space="preserve">In the Northern Territory it took another Royal Commission, </w:t>
      </w:r>
      <w:r w:rsidR="00883E11" w:rsidRPr="00140250">
        <w:rPr>
          <w:rFonts w:ascii="Arial" w:hAnsi="Arial" w:cs="Arial"/>
          <w:sz w:val="22"/>
          <w:szCs w:val="22"/>
        </w:rPr>
        <w:t>inquiring into</w:t>
      </w:r>
      <w:r w:rsidRPr="00140250">
        <w:rPr>
          <w:rFonts w:ascii="Arial" w:hAnsi="Arial" w:cs="Arial"/>
          <w:sz w:val="22"/>
          <w:szCs w:val="22"/>
        </w:rPr>
        <w:t xml:space="preserve"> Yout</w:t>
      </w:r>
      <w:r w:rsidR="00112F1A" w:rsidRPr="00140250">
        <w:rPr>
          <w:rFonts w:ascii="Arial" w:hAnsi="Arial" w:cs="Arial"/>
          <w:sz w:val="22"/>
          <w:szCs w:val="22"/>
        </w:rPr>
        <w:t>h Detention and Child Protection</w:t>
      </w:r>
      <w:r w:rsidR="00CE31A2">
        <w:rPr>
          <w:rFonts w:ascii="Arial" w:hAnsi="Arial" w:cs="Arial"/>
          <w:sz w:val="22"/>
          <w:szCs w:val="22"/>
        </w:rPr>
        <w:t xml:space="preserve"> (2017)</w:t>
      </w:r>
      <w:r w:rsidRPr="00140250">
        <w:rPr>
          <w:rFonts w:ascii="Arial" w:hAnsi="Arial" w:cs="Arial"/>
          <w:sz w:val="22"/>
          <w:szCs w:val="22"/>
        </w:rPr>
        <w:t xml:space="preserve"> </w:t>
      </w:r>
      <w:r w:rsidR="00F07B90" w:rsidRPr="00140250">
        <w:rPr>
          <w:rFonts w:ascii="Arial" w:hAnsi="Arial" w:cs="Arial"/>
          <w:sz w:val="22"/>
          <w:szCs w:val="22"/>
        </w:rPr>
        <w:t>in</w:t>
      </w:r>
      <w:r w:rsidR="00883E11" w:rsidRPr="00140250">
        <w:rPr>
          <w:rFonts w:ascii="Arial" w:hAnsi="Arial" w:cs="Arial"/>
          <w:sz w:val="22"/>
          <w:szCs w:val="22"/>
        </w:rPr>
        <w:t xml:space="preserve"> the Northern Territory,</w:t>
      </w:r>
      <w:r w:rsidR="00F07B90" w:rsidRPr="00140250">
        <w:rPr>
          <w:rFonts w:ascii="Arial" w:hAnsi="Arial" w:cs="Arial"/>
          <w:sz w:val="22"/>
          <w:szCs w:val="22"/>
        </w:rPr>
        <w:t xml:space="preserve"> </w:t>
      </w:r>
      <w:r w:rsidR="009C7A32" w:rsidRPr="00140250">
        <w:rPr>
          <w:rFonts w:ascii="Arial" w:hAnsi="Arial" w:cs="Arial"/>
          <w:sz w:val="22"/>
          <w:szCs w:val="22"/>
        </w:rPr>
        <w:t xml:space="preserve">to </w:t>
      </w:r>
      <w:r w:rsidR="00883E11" w:rsidRPr="00140250">
        <w:rPr>
          <w:rFonts w:ascii="Arial" w:hAnsi="Arial" w:cs="Arial"/>
          <w:sz w:val="22"/>
          <w:szCs w:val="22"/>
        </w:rPr>
        <w:t xml:space="preserve">specifically </w:t>
      </w:r>
      <w:r w:rsidR="009C7A32" w:rsidRPr="00140250">
        <w:rPr>
          <w:rFonts w:ascii="Arial" w:hAnsi="Arial" w:cs="Arial"/>
          <w:sz w:val="22"/>
          <w:szCs w:val="22"/>
        </w:rPr>
        <w:t>recommend a CNS</w:t>
      </w:r>
      <w:r w:rsidR="00883E11" w:rsidRPr="00140250">
        <w:rPr>
          <w:rFonts w:ascii="Arial" w:hAnsi="Arial" w:cs="Arial"/>
          <w:sz w:val="22"/>
          <w:szCs w:val="22"/>
        </w:rPr>
        <w:t xml:space="preserve"> in the NT</w:t>
      </w:r>
      <w:r w:rsidR="009F528E">
        <w:rPr>
          <w:rFonts w:ascii="Arial" w:hAnsi="Arial" w:cs="Arial"/>
          <w:sz w:val="22"/>
          <w:szCs w:val="22"/>
        </w:rPr>
        <w:t>, as well as</w:t>
      </w:r>
      <w:r w:rsidR="00F07B90" w:rsidRPr="00140250">
        <w:rPr>
          <w:rStyle w:val="A4"/>
          <w:rFonts w:ascii="Arial" w:hAnsi="Arial" w:cs="Arial"/>
          <w:sz w:val="22"/>
          <w:szCs w:val="22"/>
        </w:rPr>
        <w:t xml:space="preserve"> the offer of financial support from the Commonwealth</w:t>
      </w:r>
      <w:r w:rsidR="009F528E">
        <w:rPr>
          <w:rStyle w:val="A4"/>
          <w:rFonts w:ascii="Arial" w:hAnsi="Arial" w:cs="Arial"/>
          <w:sz w:val="22"/>
          <w:szCs w:val="22"/>
        </w:rPr>
        <w:t>,</w:t>
      </w:r>
      <w:r w:rsidR="00883E11" w:rsidRPr="00140250">
        <w:rPr>
          <w:rStyle w:val="A4"/>
          <w:rFonts w:ascii="Arial" w:hAnsi="Arial" w:cs="Arial"/>
          <w:sz w:val="22"/>
          <w:szCs w:val="22"/>
        </w:rPr>
        <w:t xml:space="preserve"> before the NT government acquiesced</w:t>
      </w:r>
      <w:r w:rsidR="00F07B90" w:rsidRPr="00140250">
        <w:rPr>
          <w:rStyle w:val="A4"/>
          <w:rFonts w:ascii="Arial" w:hAnsi="Arial" w:cs="Arial"/>
          <w:sz w:val="22"/>
          <w:szCs w:val="22"/>
        </w:rPr>
        <w:t xml:space="preserve">. </w:t>
      </w:r>
      <w:r w:rsidR="009C7A32" w:rsidRPr="00140250">
        <w:rPr>
          <w:rStyle w:val="A4"/>
          <w:rFonts w:ascii="Arial" w:hAnsi="Arial" w:cs="Arial"/>
          <w:sz w:val="22"/>
          <w:szCs w:val="22"/>
        </w:rPr>
        <w:t xml:space="preserve">Importantly, </w:t>
      </w:r>
      <w:r w:rsidR="00174072" w:rsidRPr="00140250">
        <w:rPr>
          <w:rStyle w:val="A4"/>
          <w:rFonts w:ascii="Arial" w:hAnsi="Arial" w:cs="Arial"/>
          <w:sz w:val="22"/>
          <w:szCs w:val="22"/>
        </w:rPr>
        <w:t>the Commissioners also recommended</w:t>
      </w:r>
      <w:r w:rsidR="009F528E">
        <w:rPr>
          <w:rStyle w:val="A4"/>
          <w:rFonts w:ascii="Arial" w:hAnsi="Arial" w:cs="Arial"/>
          <w:sz w:val="22"/>
          <w:szCs w:val="22"/>
        </w:rPr>
        <w:t>,</w:t>
      </w:r>
      <w:r w:rsidR="00174072" w:rsidRPr="00140250">
        <w:rPr>
          <w:rStyle w:val="A4"/>
          <w:rFonts w:ascii="Arial" w:hAnsi="Arial" w:cs="Arial"/>
          <w:sz w:val="22"/>
          <w:szCs w:val="22"/>
        </w:rPr>
        <w:t xml:space="preserve"> “the Northern Territory Government commit to resource(</w:t>
      </w:r>
      <w:proofErr w:type="spellStart"/>
      <w:r w:rsidR="00174072" w:rsidRPr="00140250">
        <w:rPr>
          <w:rStyle w:val="A4"/>
          <w:rFonts w:ascii="Arial" w:hAnsi="Arial" w:cs="Arial"/>
          <w:sz w:val="22"/>
          <w:szCs w:val="22"/>
        </w:rPr>
        <w:t>ing</w:t>
      </w:r>
      <w:proofErr w:type="spellEnd"/>
      <w:r w:rsidR="00174072" w:rsidRPr="00140250">
        <w:rPr>
          <w:rStyle w:val="A4"/>
          <w:rFonts w:ascii="Arial" w:hAnsi="Arial" w:cs="Arial"/>
          <w:sz w:val="22"/>
          <w:szCs w:val="22"/>
        </w:rPr>
        <w:t>) the custody notification scheme following the initial three-year funding from the Commonwealth”</w:t>
      </w:r>
      <w:r w:rsidR="00174072" w:rsidRPr="00140250">
        <w:rPr>
          <w:rStyle w:val="FootnoteReference"/>
          <w:rFonts w:ascii="Arial" w:hAnsi="Arial" w:cs="Arial"/>
          <w:color w:val="000000"/>
          <w:sz w:val="22"/>
          <w:szCs w:val="22"/>
        </w:rPr>
        <w:footnoteReference w:id="66"/>
      </w:r>
      <w:r w:rsidR="00174072" w:rsidRPr="00140250">
        <w:rPr>
          <w:rStyle w:val="A4"/>
          <w:rFonts w:ascii="Arial" w:hAnsi="Arial" w:cs="Arial"/>
          <w:sz w:val="22"/>
          <w:szCs w:val="22"/>
        </w:rPr>
        <w:t xml:space="preserve">. </w:t>
      </w:r>
    </w:p>
    <w:p w14:paraId="65522233" w14:textId="77777777" w:rsidR="00665F1F" w:rsidRPr="00140250" w:rsidRDefault="00665F1F" w:rsidP="00427B96">
      <w:pPr>
        <w:autoSpaceDE w:val="0"/>
        <w:autoSpaceDN w:val="0"/>
        <w:adjustRightInd w:val="0"/>
        <w:rPr>
          <w:rFonts w:ascii="Arial" w:hAnsi="Arial" w:cs="Arial"/>
        </w:rPr>
      </w:pPr>
    </w:p>
    <w:p w14:paraId="1AF6FA16" w14:textId="77777777" w:rsidR="00427B96" w:rsidRPr="00140250" w:rsidRDefault="00427B96" w:rsidP="00427B96">
      <w:pPr>
        <w:autoSpaceDE w:val="0"/>
        <w:autoSpaceDN w:val="0"/>
        <w:adjustRightInd w:val="0"/>
        <w:rPr>
          <w:rFonts w:ascii="Arial" w:hAnsi="Arial" w:cs="Arial"/>
        </w:rPr>
      </w:pPr>
    </w:p>
    <w:p w14:paraId="0FE4E5A0" w14:textId="65AF8FB1" w:rsidR="00427B96" w:rsidRPr="00140250" w:rsidRDefault="00427B96" w:rsidP="00427B96">
      <w:pPr>
        <w:autoSpaceDE w:val="0"/>
        <w:autoSpaceDN w:val="0"/>
        <w:adjustRightInd w:val="0"/>
        <w:rPr>
          <w:rFonts w:ascii="Arial" w:hAnsi="Arial" w:cs="Arial"/>
          <w:b/>
        </w:rPr>
      </w:pPr>
      <w:r w:rsidRPr="00140250">
        <w:rPr>
          <w:rFonts w:ascii="Arial" w:hAnsi="Arial" w:cs="Arial"/>
          <w:b/>
        </w:rPr>
        <w:t>D</w:t>
      </w:r>
      <w:r w:rsidR="00EC3FBB">
        <w:rPr>
          <w:rFonts w:ascii="Arial" w:hAnsi="Arial" w:cs="Arial"/>
          <w:b/>
        </w:rPr>
        <w:t>ifferent models</w:t>
      </w:r>
    </w:p>
    <w:p w14:paraId="5B49F77A" w14:textId="77777777" w:rsidR="00B15EC2" w:rsidRPr="00140250" w:rsidRDefault="00B15EC2" w:rsidP="00502E31">
      <w:pPr>
        <w:rPr>
          <w:rFonts w:ascii="Arial" w:hAnsi="Arial" w:cs="Arial"/>
        </w:rPr>
      </w:pPr>
    </w:p>
    <w:p w14:paraId="21B3E015" w14:textId="0B803DCF" w:rsidR="00F430A5" w:rsidRDefault="00F430A5" w:rsidP="00F430A5">
      <w:pPr>
        <w:rPr>
          <w:rFonts w:ascii="Arial" w:hAnsi="Arial" w:cs="Arial"/>
        </w:rPr>
      </w:pPr>
      <w:r w:rsidRPr="00140250">
        <w:rPr>
          <w:rFonts w:ascii="Arial" w:hAnsi="Arial" w:cs="Arial"/>
        </w:rPr>
        <w:t>In NSW and the ACT, police are required by regulation to notify the ALS when they take a person into custody.</w:t>
      </w:r>
      <w:r w:rsidRPr="00140250">
        <w:rPr>
          <w:rStyle w:val="FootnoteReference"/>
          <w:rFonts w:ascii="Arial" w:hAnsi="Arial" w:cs="Arial"/>
        </w:rPr>
        <w:footnoteReference w:id="67"/>
      </w:r>
      <w:r w:rsidRPr="00140250">
        <w:rPr>
          <w:rFonts w:ascii="Arial" w:hAnsi="Arial" w:cs="Arial"/>
        </w:rPr>
        <w:t xml:space="preserve"> While there is no express requirement to facilitate communication with between the CNS and the person in custody, the police</w:t>
      </w:r>
      <w:r w:rsidR="00883E11" w:rsidRPr="00140250">
        <w:rPr>
          <w:rFonts w:ascii="Arial" w:hAnsi="Arial" w:cs="Arial"/>
        </w:rPr>
        <w:t xml:space="preserve"> </w:t>
      </w:r>
      <w:r w:rsidRPr="00140250">
        <w:rPr>
          <w:rFonts w:ascii="Arial" w:hAnsi="Arial" w:cs="Arial"/>
        </w:rPr>
        <w:t>cannot interview the Aboriginal person in their custody unless they have spoken to a representative from the ALS</w:t>
      </w:r>
      <w:r w:rsidRPr="00140250">
        <w:rPr>
          <w:rStyle w:val="FootnoteReference"/>
          <w:rFonts w:ascii="Arial" w:hAnsi="Arial" w:cs="Arial"/>
        </w:rPr>
        <w:footnoteReference w:id="68"/>
      </w:r>
      <w:r w:rsidRPr="00140250">
        <w:rPr>
          <w:rFonts w:ascii="Arial" w:hAnsi="Arial" w:cs="Arial"/>
        </w:rPr>
        <w:t>. In Western Australia</w:t>
      </w:r>
      <w:r w:rsidR="003A6CB0">
        <w:rPr>
          <w:rFonts w:ascii="Arial" w:hAnsi="Arial" w:cs="Arial"/>
        </w:rPr>
        <w:t>,</w:t>
      </w:r>
      <w:r w:rsidRPr="00140250">
        <w:rPr>
          <w:rFonts w:ascii="Arial" w:hAnsi="Arial" w:cs="Arial"/>
        </w:rPr>
        <w:t xml:space="preserve"> a CNS was introduced at the same time a</w:t>
      </w:r>
      <w:r w:rsidR="00381FF0">
        <w:rPr>
          <w:rFonts w:ascii="Arial" w:hAnsi="Arial" w:cs="Arial"/>
        </w:rPr>
        <w:t>s</w:t>
      </w:r>
      <w:r w:rsidRPr="00140250">
        <w:rPr>
          <w:rFonts w:ascii="Arial" w:hAnsi="Arial" w:cs="Arial"/>
        </w:rPr>
        <w:t xml:space="preserve"> the NT</w:t>
      </w:r>
      <w:r w:rsidR="00883E11" w:rsidRPr="00140250">
        <w:rPr>
          <w:rFonts w:ascii="Arial" w:hAnsi="Arial" w:cs="Arial"/>
        </w:rPr>
        <w:t xml:space="preserve">, also by </w:t>
      </w:r>
      <w:r w:rsidRPr="00140250">
        <w:rPr>
          <w:rFonts w:ascii="Arial" w:hAnsi="Arial" w:cs="Arial"/>
        </w:rPr>
        <w:t>regulation requiring notification of the ALS</w:t>
      </w:r>
      <w:r w:rsidR="00883E11" w:rsidRPr="00140250">
        <w:rPr>
          <w:rFonts w:ascii="Arial" w:hAnsi="Arial" w:cs="Arial"/>
        </w:rPr>
        <w:t>. The regulation</w:t>
      </w:r>
      <w:r w:rsidRPr="00140250">
        <w:rPr>
          <w:rFonts w:ascii="Arial" w:hAnsi="Arial" w:cs="Arial"/>
        </w:rPr>
        <w:t xml:space="preserve"> implicitly, if not explicitly</w:t>
      </w:r>
      <w:r w:rsidR="00A866D6" w:rsidRPr="00140250">
        <w:rPr>
          <w:rFonts w:ascii="Arial" w:hAnsi="Arial" w:cs="Arial"/>
        </w:rPr>
        <w:t>,</w:t>
      </w:r>
      <w:r w:rsidRPr="00140250">
        <w:rPr>
          <w:rFonts w:ascii="Arial" w:hAnsi="Arial" w:cs="Arial"/>
        </w:rPr>
        <w:t xml:space="preserve"> requires that an ALS representative be permitted to speak to the person in custody</w:t>
      </w:r>
      <w:r w:rsidR="00883E11" w:rsidRPr="00140250">
        <w:rPr>
          <w:rFonts w:ascii="Arial" w:hAnsi="Arial" w:cs="Arial"/>
        </w:rPr>
        <w:t>,</w:t>
      </w:r>
      <w:r w:rsidRPr="00140250">
        <w:rPr>
          <w:rStyle w:val="FootnoteReference"/>
          <w:rFonts w:ascii="Arial" w:hAnsi="Arial" w:cs="Arial"/>
        </w:rPr>
        <w:footnoteReference w:id="69"/>
      </w:r>
      <w:r w:rsidRPr="00140250">
        <w:rPr>
          <w:rFonts w:ascii="Arial" w:hAnsi="Arial" w:cs="Arial"/>
        </w:rPr>
        <w:t xml:space="preserve"> and</w:t>
      </w:r>
      <w:r w:rsidR="00883E11" w:rsidRPr="00140250">
        <w:rPr>
          <w:rFonts w:ascii="Arial" w:hAnsi="Arial" w:cs="Arial"/>
        </w:rPr>
        <w:t>,</w:t>
      </w:r>
      <w:r w:rsidRPr="00140250">
        <w:rPr>
          <w:rFonts w:ascii="Arial" w:hAnsi="Arial" w:cs="Arial"/>
        </w:rPr>
        <w:t xml:space="preserve"> like NSW</w:t>
      </w:r>
      <w:r w:rsidR="00883E11" w:rsidRPr="00140250">
        <w:rPr>
          <w:rFonts w:ascii="Arial" w:hAnsi="Arial" w:cs="Arial"/>
        </w:rPr>
        <w:t>,</w:t>
      </w:r>
      <w:r w:rsidRPr="00140250">
        <w:rPr>
          <w:rFonts w:ascii="Arial" w:hAnsi="Arial" w:cs="Arial"/>
        </w:rPr>
        <w:t xml:space="preserve"> requires the police to permit the person in custody to communicate with a lawyer if they intend to interview them</w:t>
      </w:r>
      <w:r w:rsidRPr="00140250">
        <w:rPr>
          <w:rStyle w:val="FootnoteReference"/>
          <w:rFonts w:ascii="Arial" w:hAnsi="Arial" w:cs="Arial"/>
        </w:rPr>
        <w:footnoteReference w:id="70"/>
      </w:r>
      <w:r w:rsidRPr="00140250">
        <w:rPr>
          <w:rFonts w:ascii="Arial" w:hAnsi="Arial" w:cs="Arial"/>
        </w:rPr>
        <w:t>. In Victoria, there is a legislated requirement to notify the ALS</w:t>
      </w:r>
      <w:r w:rsidRPr="00140250">
        <w:rPr>
          <w:rStyle w:val="FootnoteReference"/>
          <w:rFonts w:ascii="Arial" w:hAnsi="Arial" w:cs="Arial"/>
        </w:rPr>
        <w:footnoteReference w:id="71"/>
      </w:r>
      <w:r w:rsidRPr="00140250">
        <w:rPr>
          <w:rFonts w:ascii="Arial" w:hAnsi="Arial" w:cs="Arial"/>
        </w:rPr>
        <w:t xml:space="preserve">. </w:t>
      </w:r>
      <w:r w:rsidR="00174072" w:rsidRPr="00140250">
        <w:rPr>
          <w:rFonts w:ascii="Arial" w:hAnsi="Arial" w:cs="Arial"/>
        </w:rPr>
        <w:t>South Australia amended their regulation in 2021 to</w:t>
      </w:r>
      <w:r w:rsidR="00883E11" w:rsidRPr="00140250">
        <w:rPr>
          <w:rFonts w:ascii="Arial" w:hAnsi="Arial" w:cs="Arial"/>
        </w:rPr>
        <w:t xml:space="preserve"> require</w:t>
      </w:r>
      <w:r w:rsidR="00A866D6" w:rsidRPr="00140250">
        <w:rPr>
          <w:rFonts w:ascii="Arial" w:hAnsi="Arial" w:cs="Arial"/>
        </w:rPr>
        <w:t xml:space="preserve"> prompt notification of the ALS</w:t>
      </w:r>
      <w:r w:rsidR="00883E11" w:rsidRPr="00140250">
        <w:rPr>
          <w:rFonts w:ascii="Arial" w:hAnsi="Arial" w:cs="Arial"/>
        </w:rPr>
        <w:t xml:space="preserve"> when an Aboriginal person is taken into police custody</w:t>
      </w:r>
      <w:r w:rsidR="00A866D6" w:rsidRPr="00140250">
        <w:rPr>
          <w:rFonts w:ascii="Arial" w:hAnsi="Arial" w:cs="Arial"/>
        </w:rPr>
        <w:t xml:space="preserve">. However, their regulation also requires police “to allow an ALS representative to speak by telephone to, or visit, (or both) the Aboriginal or Torres Strait Islander person for a reasonable period” and stipulates that failure to comply with the requirement may result in disciplinary proceedings against the relevant officer. </w:t>
      </w:r>
      <w:r w:rsidRPr="00140250">
        <w:rPr>
          <w:rFonts w:ascii="Arial" w:hAnsi="Arial" w:cs="Arial"/>
        </w:rPr>
        <w:t>There is no requirement to notify ALS upon arrest of Aboriginal people in Tasmania.</w:t>
      </w:r>
      <w:r w:rsidR="00174072" w:rsidRPr="00140250">
        <w:rPr>
          <w:rFonts w:ascii="Arial" w:hAnsi="Arial" w:cs="Arial"/>
        </w:rPr>
        <w:t xml:space="preserve"> I</w:t>
      </w:r>
      <w:r w:rsidRPr="00140250">
        <w:rPr>
          <w:rFonts w:ascii="Arial" w:hAnsi="Arial" w:cs="Arial"/>
        </w:rPr>
        <w:t>n Queensland, there is a requirement to notify the ALS only if police intend to question the person in their custody</w:t>
      </w:r>
      <w:r w:rsidRPr="00140250">
        <w:rPr>
          <w:rStyle w:val="FootnoteReference"/>
          <w:rFonts w:ascii="Arial" w:hAnsi="Arial" w:cs="Arial"/>
        </w:rPr>
        <w:footnoteReference w:id="72"/>
      </w:r>
      <w:r w:rsidRPr="00140250">
        <w:rPr>
          <w:rFonts w:ascii="Arial" w:hAnsi="Arial" w:cs="Arial"/>
        </w:rPr>
        <w:t xml:space="preserve">.  In those jurisdictions where there exists a </w:t>
      </w:r>
      <w:r w:rsidRPr="00140250">
        <w:rPr>
          <w:rFonts w:ascii="Arial" w:hAnsi="Arial" w:cs="Arial"/>
        </w:rPr>
        <w:lastRenderedPageBreak/>
        <w:t xml:space="preserve">requirement to notify, it is not limited only to those people in custody for new offences or warrants. It also includes those people in ‘protective custody’. </w:t>
      </w:r>
    </w:p>
    <w:p w14:paraId="2EC62741" w14:textId="02DCC30E" w:rsidR="00EC3FBB" w:rsidRDefault="00EC3FBB" w:rsidP="00F430A5">
      <w:pPr>
        <w:rPr>
          <w:rFonts w:ascii="Arial" w:hAnsi="Arial" w:cs="Arial"/>
        </w:rPr>
      </w:pPr>
    </w:p>
    <w:p w14:paraId="4C6CE7ED" w14:textId="75B11080" w:rsidR="007D55DC" w:rsidRPr="00EC3FBB" w:rsidRDefault="00EC3FBB" w:rsidP="00502E31">
      <w:pPr>
        <w:rPr>
          <w:rFonts w:ascii="Arial" w:hAnsi="Arial" w:cs="Arial"/>
          <w:b/>
          <w:bCs/>
        </w:rPr>
      </w:pPr>
      <w:r w:rsidRPr="00EC3FBB">
        <w:rPr>
          <w:rFonts w:ascii="Arial" w:hAnsi="Arial" w:cs="Arial"/>
          <w:b/>
          <w:bCs/>
        </w:rPr>
        <w:t xml:space="preserve">Part </w:t>
      </w:r>
      <w:r>
        <w:rPr>
          <w:rFonts w:ascii="Arial" w:hAnsi="Arial" w:cs="Arial"/>
          <w:b/>
          <w:bCs/>
        </w:rPr>
        <w:t xml:space="preserve">3 - </w:t>
      </w:r>
      <w:r w:rsidR="007D55DC" w:rsidRPr="00140250">
        <w:rPr>
          <w:rFonts w:ascii="Arial" w:hAnsi="Arial" w:cs="Arial"/>
          <w:b/>
        </w:rPr>
        <w:t xml:space="preserve">The NT </w:t>
      </w:r>
      <w:r>
        <w:rPr>
          <w:rFonts w:ascii="Arial" w:hAnsi="Arial" w:cs="Arial"/>
          <w:b/>
        </w:rPr>
        <w:t>experience</w:t>
      </w:r>
    </w:p>
    <w:p w14:paraId="090A4EEF" w14:textId="77777777" w:rsidR="00B4193F" w:rsidRPr="00140250" w:rsidRDefault="00B4193F" w:rsidP="00502E31">
      <w:pPr>
        <w:rPr>
          <w:rFonts w:ascii="Arial" w:hAnsi="Arial" w:cs="Arial"/>
          <w:b/>
        </w:rPr>
      </w:pPr>
    </w:p>
    <w:p w14:paraId="3CB278D1" w14:textId="07C2E762" w:rsidR="00AA5A18" w:rsidRPr="00140250" w:rsidRDefault="007D55DC" w:rsidP="00327AD9">
      <w:pPr>
        <w:autoSpaceDE w:val="0"/>
        <w:autoSpaceDN w:val="0"/>
        <w:adjustRightInd w:val="0"/>
        <w:rPr>
          <w:rFonts w:ascii="Arial" w:hAnsi="Arial" w:cs="Arial"/>
        </w:rPr>
      </w:pPr>
      <w:r w:rsidRPr="00140250">
        <w:rPr>
          <w:rFonts w:ascii="Arial" w:hAnsi="Arial" w:cs="Arial"/>
        </w:rPr>
        <w:t>In the NT</w:t>
      </w:r>
      <w:r w:rsidR="00883E11" w:rsidRPr="00140250">
        <w:rPr>
          <w:rFonts w:ascii="Arial" w:hAnsi="Arial" w:cs="Arial"/>
        </w:rPr>
        <w:t>,</w:t>
      </w:r>
      <w:r w:rsidRPr="00140250">
        <w:rPr>
          <w:rFonts w:ascii="Arial" w:hAnsi="Arial" w:cs="Arial"/>
        </w:rPr>
        <w:t xml:space="preserve"> the CNS was implemented by regulation in July 2019</w:t>
      </w:r>
      <w:r w:rsidRPr="00140250">
        <w:rPr>
          <w:rStyle w:val="FootnoteReference"/>
          <w:rFonts w:ascii="Arial" w:hAnsi="Arial" w:cs="Arial"/>
        </w:rPr>
        <w:footnoteReference w:id="73"/>
      </w:r>
      <w:r w:rsidRPr="00140250">
        <w:rPr>
          <w:rFonts w:ascii="Arial" w:hAnsi="Arial" w:cs="Arial"/>
        </w:rPr>
        <w:t>.</w:t>
      </w:r>
      <w:r w:rsidR="004843DC" w:rsidRPr="00140250">
        <w:rPr>
          <w:rFonts w:ascii="Arial" w:hAnsi="Arial" w:cs="Arial"/>
        </w:rPr>
        <w:t xml:space="preserve"> </w:t>
      </w:r>
      <w:r w:rsidR="00883E11" w:rsidRPr="00140250">
        <w:rPr>
          <w:rFonts w:ascii="Arial" w:hAnsi="Arial" w:cs="Arial"/>
        </w:rPr>
        <w:t>Since it commenced the service has been</w:t>
      </w:r>
      <w:r w:rsidR="004843DC" w:rsidRPr="00140250">
        <w:rPr>
          <w:rFonts w:ascii="Arial" w:hAnsi="Arial" w:cs="Arial"/>
        </w:rPr>
        <w:t xml:space="preserve"> operated by NAAJA.</w:t>
      </w:r>
      <w:r w:rsidRPr="00140250">
        <w:rPr>
          <w:rFonts w:ascii="Arial" w:hAnsi="Arial" w:cs="Arial"/>
        </w:rPr>
        <w:t xml:space="preserve"> The regulation </w:t>
      </w:r>
      <w:r w:rsidR="004843DC" w:rsidRPr="00140250">
        <w:rPr>
          <w:rFonts w:ascii="Arial" w:hAnsi="Arial" w:cs="Arial"/>
        </w:rPr>
        <w:t xml:space="preserve">itself </w:t>
      </w:r>
      <w:r w:rsidRPr="00140250">
        <w:rPr>
          <w:rFonts w:ascii="Arial" w:hAnsi="Arial" w:cs="Arial"/>
        </w:rPr>
        <w:t xml:space="preserve">was modelled on the NSW </w:t>
      </w:r>
      <w:r w:rsidR="00CE106B" w:rsidRPr="00140250">
        <w:rPr>
          <w:rFonts w:ascii="Arial" w:hAnsi="Arial" w:cs="Arial"/>
        </w:rPr>
        <w:t>equivalent but</w:t>
      </w:r>
      <w:r w:rsidRPr="00140250">
        <w:rPr>
          <w:rFonts w:ascii="Arial" w:hAnsi="Arial" w:cs="Arial"/>
        </w:rPr>
        <w:t xml:space="preserve"> excludes from its oper</w:t>
      </w:r>
      <w:r w:rsidR="004843DC" w:rsidRPr="00140250">
        <w:rPr>
          <w:rFonts w:ascii="Arial" w:hAnsi="Arial" w:cs="Arial"/>
        </w:rPr>
        <w:t>ation</w:t>
      </w:r>
      <w:r w:rsidRPr="00140250">
        <w:rPr>
          <w:rFonts w:ascii="Arial" w:hAnsi="Arial" w:cs="Arial"/>
        </w:rPr>
        <w:t xml:space="preserve"> those people in custody for ‘paperless arrests’ and ‘protective custody’. There is no requirement, explicitly or implicitly, </w:t>
      </w:r>
      <w:r w:rsidR="004843DC" w:rsidRPr="00140250">
        <w:rPr>
          <w:rFonts w:ascii="Arial" w:hAnsi="Arial" w:cs="Arial"/>
        </w:rPr>
        <w:t>for police who make the notification to facilitate communication between the person in custody and the NAAJA staff member, nor is there any express requirement for the notification to be made prior to any police questioning</w:t>
      </w:r>
      <w:r w:rsidR="0011672A" w:rsidRPr="00140250">
        <w:rPr>
          <w:rFonts w:ascii="Arial" w:hAnsi="Arial" w:cs="Arial"/>
        </w:rPr>
        <w:t xml:space="preserve">. </w:t>
      </w:r>
      <w:r w:rsidR="00327AD9" w:rsidRPr="00140250">
        <w:rPr>
          <w:rFonts w:ascii="Arial" w:hAnsi="Arial" w:cs="Arial"/>
        </w:rPr>
        <w:t xml:space="preserve">Notwithstanding the requirement from the Commonwealth that the CNS be legislated, the NT Government was opposed to this, citing </w:t>
      </w:r>
      <w:r w:rsidR="00112F1A" w:rsidRPr="00140250">
        <w:rPr>
          <w:rFonts w:ascii="Arial" w:hAnsi="Arial" w:cs="Arial"/>
        </w:rPr>
        <w:t>the extended length of time</w:t>
      </w:r>
      <w:r w:rsidR="00327AD9" w:rsidRPr="00140250">
        <w:rPr>
          <w:rFonts w:ascii="Arial" w:hAnsi="Arial" w:cs="Arial"/>
        </w:rPr>
        <w:t xml:space="preserve"> it takes draft, introduce, debate, </w:t>
      </w:r>
      <w:proofErr w:type="gramStart"/>
      <w:r w:rsidR="00327AD9" w:rsidRPr="00140250">
        <w:rPr>
          <w:rFonts w:ascii="Arial" w:hAnsi="Arial" w:cs="Arial"/>
        </w:rPr>
        <w:t>assent</w:t>
      </w:r>
      <w:proofErr w:type="gramEnd"/>
      <w:r w:rsidR="00327AD9" w:rsidRPr="00140250">
        <w:rPr>
          <w:rFonts w:ascii="Arial" w:hAnsi="Arial" w:cs="Arial"/>
        </w:rPr>
        <w:t xml:space="preserve"> and gazette legislation</w:t>
      </w:r>
      <w:r w:rsidR="0007421F" w:rsidRPr="00140250">
        <w:rPr>
          <w:rFonts w:ascii="Arial" w:hAnsi="Arial" w:cs="Arial"/>
        </w:rPr>
        <w:t xml:space="preserve">. </w:t>
      </w:r>
      <w:proofErr w:type="gramStart"/>
      <w:r w:rsidR="0007421F" w:rsidRPr="00140250">
        <w:rPr>
          <w:rFonts w:ascii="Arial" w:hAnsi="Arial" w:cs="Arial"/>
        </w:rPr>
        <w:t>I</w:t>
      </w:r>
      <w:r w:rsidR="00112F1A" w:rsidRPr="00140250">
        <w:rPr>
          <w:rFonts w:ascii="Arial" w:hAnsi="Arial" w:cs="Arial"/>
        </w:rPr>
        <w:t>nstead</w:t>
      </w:r>
      <w:proofErr w:type="gramEnd"/>
      <w:r w:rsidR="0007421F" w:rsidRPr="00140250">
        <w:rPr>
          <w:rFonts w:ascii="Arial" w:hAnsi="Arial" w:cs="Arial"/>
        </w:rPr>
        <w:t xml:space="preserve"> they</w:t>
      </w:r>
      <w:r w:rsidR="00112F1A" w:rsidRPr="00140250">
        <w:rPr>
          <w:rFonts w:ascii="Arial" w:hAnsi="Arial" w:cs="Arial"/>
        </w:rPr>
        <w:t xml:space="preserve"> suggested</w:t>
      </w:r>
      <w:r w:rsidR="00327AD9" w:rsidRPr="00140250">
        <w:rPr>
          <w:rFonts w:ascii="Arial" w:hAnsi="Arial" w:cs="Arial"/>
        </w:rPr>
        <w:t xml:space="preserve"> regulation would be more expedient. This explanation needs to be viewed </w:t>
      </w:r>
      <w:proofErr w:type="gramStart"/>
      <w:r w:rsidR="00327AD9" w:rsidRPr="00140250">
        <w:rPr>
          <w:rFonts w:ascii="Arial" w:hAnsi="Arial" w:cs="Arial"/>
        </w:rPr>
        <w:t>in light of</w:t>
      </w:r>
      <w:proofErr w:type="gramEnd"/>
      <w:r w:rsidR="00327AD9" w:rsidRPr="00140250">
        <w:rPr>
          <w:rFonts w:ascii="Arial" w:hAnsi="Arial" w:cs="Arial"/>
        </w:rPr>
        <w:t xml:space="preserve"> the </w:t>
      </w:r>
      <w:r w:rsidR="00327AD9" w:rsidRPr="00140250">
        <w:rPr>
          <w:rFonts w:ascii="Arial" w:hAnsi="Arial" w:cs="Arial"/>
          <w:i/>
        </w:rPr>
        <w:t>Youth Justice Amendment Act</w:t>
      </w:r>
      <w:r w:rsidR="00327AD9" w:rsidRPr="00140250">
        <w:rPr>
          <w:rFonts w:ascii="Arial" w:hAnsi="Arial" w:cs="Arial"/>
        </w:rPr>
        <w:t xml:space="preserve"> 2021, referred to previously</w:t>
      </w:r>
      <w:r w:rsidR="00112F1A" w:rsidRPr="00140250">
        <w:rPr>
          <w:rFonts w:ascii="Arial" w:hAnsi="Arial" w:cs="Arial"/>
        </w:rPr>
        <w:t>,</w:t>
      </w:r>
      <w:r w:rsidR="00327AD9" w:rsidRPr="00140250">
        <w:rPr>
          <w:rFonts w:ascii="Arial" w:hAnsi="Arial" w:cs="Arial"/>
        </w:rPr>
        <w:t xml:space="preserve"> which took less than a month from</w:t>
      </w:r>
      <w:r w:rsidR="00112F1A" w:rsidRPr="00140250">
        <w:rPr>
          <w:rFonts w:ascii="Arial" w:hAnsi="Arial" w:cs="Arial"/>
        </w:rPr>
        <w:t xml:space="preserve"> </w:t>
      </w:r>
      <w:r w:rsidR="00AA5A18" w:rsidRPr="00140250">
        <w:rPr>
          <w:rFonts w:ascii="Arial" w:hAnsi="Arial" w:cs="Arial"/>
        </w:rPr>
        <w:t xml:space="preserve">the </w:t>
      </w:r>
      <w:r w:rsidR="00381FF0">
        <w:rPr>
          <w:rFonts w:ascii="Arial" w:hAnsi="Arial" w:cs="Arial"/>
        </w:rPr>
        <w:t xml:space="preserve">initial </w:t>
      </w:r>
      <w:r w:rsidR="00AA5A18" w:rsidRPr="00140250">
        <w:rPr>
          <w:rFonts w:ascii="Arial" w:hAnsi="Arial" w:cs="Arial"/>
        </w:rPr>
        <w:t>consultation</w:t>
      </w:r>
      <w:r w:rsidR="00381FF0">
        <w:rPr>
          <w:rFonts w:ascii="Arial" w:hAnsi="Arial" w:cs="Arial"/>
        </w:rPr>
        <w:t xml:space="preserve"> to</w:t>
      </w:r>
      <w:r w:rsidR="00112F1A" w:rsidRPr="00140250">
        <w:rPr>
          <w:rFonts w:ascii="Arial" w:hAnsi="Arial" w:cs="Arial"/>
        </w:rPr>
        <w:t xml:space="preserve"> commencement, </w:t>
      </w:r>
      <w:r w:rsidR="00381FF0">
        <w:rPr>
          <w:rFonts w:ascii="Arial" w:hAnsi="Arial" w:cs="Arial"/>
        </w:rPr>
        <w:t>which perhaps gives</w:t>
      </w:r>
      <w:r w:rsidR="00327AD9" w:rsidRPr="00140250">
        <w:rPr>
          <w:rFonts w:ascii="Arial" w:hAnsi="Arial" w:cs="Arial"/>
        </w:rPr>
        <w:t xml:space="preserve"> a clearer indication of </w:t>
      </w:r>
      <w:r w:rsidR="00112F1A" w:rsidRPr="00140250">
        <w:rPr>
          <w:rFonts w:ascii="Arial" w:hAnsi="Arial" w:cs="Arial"/>
        </w:rPr>
        <w:t xml:space="preserve">the </w:t>
      </w:r>
      <w:r w:rsidR="00CE106B">
        <w:rPr>
          <w:rFonts w:ascii="Arial" w:hAnsi="Arial" w:cs="Arial"/>
        </w:rPr>
        <w:t>g</w:t>
      </w:r>
      <w:r w:rsidR="00112F1A" w:rsidRPr="00140250">
        <w:rPr>
          <w:rFonts w:ascii="Arial" w:hAnsi="Arial" w:cs="Arial"/>
        </w:rPr>
        <w:t xml:space="preserve">overnment’s priorities. </w:t>
      </w:r>
    </w:p>
    <w:p w14:paraId="179EAC2C" w14:textId="77777777" w:rsidR="00AA5A18" w:rsidRPr="00140250" w:rsidRDefault="00AA5A18" w:rsidP="00327AD9">
      <w:pPr>
        <w:autoSpaceDE w:val="0"/>
        <w:autoSpaceDN w:val="0"/>
        <w:adjustRightInd w:val="0"/>
        <w:rPr>
          <w:rFonts w:ascii="Arial" w:hAnsi="Arial" w:cs="Arial"/>
        </w:rPr>
      </w:pPr>
    </w:p>
    <w:p w14:paraId="17D21891" w14:textId="21F76D81" w:rsidR="00327AD9" w:rsidRPr="00140250" w:rsidRDefault="00112F1A" w:rsidP="00327AD9">
      <w:pPr>
        <w:autoSpaceDE w:val="0"/>
        <w:autoSpaceDN w:val="0"/>
        <w:adjustRightInd w:val="0"/>
        <w:rPr>
          <w:rFonts w:ascii="Arial" w:hAnsi="Arial" w:cs="Arial"/>
        </w:rPr>
      </w:pPr>
      <w:r w:rsidRPr="00140250">
        <w:rPr>
          <w:rFonts w:ascii="Arial" w:hAnsi="Arial" w:cs="Arial"/>
        </w:rPr>
        <w:t>In</w:t>
      </w:r>
      <w:r w:rsidR="00327AD9" w:rsidRPr="00140250">
        <w:rPr>
          <w:rFonts w:ascii="Arial" w:hAnsi="Arial" w:cs="Arial"/>
        </w:rPr>
        <w:t xml:space="preserve"> its 2017 report, the ALRC noted “A legislative requirement to notify an ATSILS when an Aboriginal and/or</w:t>
      </w:r>
      <w:r w:rsidR="00AA5A18" w:rsidRPr="00140250">
        <w:rPr>
          <w:rFonts w:ascii="Arial" w:hAnsi="Arial" w:cs="Arial"/>
        </w:rPr>
        <w:t xml:space="preserve"> </w:t>
      </w:r>
      <w:r w:rsidR="00327AD9" w:rsidRPr="00140250">
        <w:rPr>
          <w:rFonts w:ascii="Arial" w:hAnsi="Arial" w:cs="Arial"/>
        </w:rPr>
        <w:t>Torres Strait Islander person is detained in police custody reflects the importance of this safeguarding</w:t>
      </w:r>
      <w:r w:rsidR="00AA5A18" w:rsidRPr="00140250">
        <w:rPr>
          <w:rFonts w:ascii="Arial" w:hAnsi="Arial" w:cs="Arial"/>
        </w:rPr>
        <w:t xml:space="preserve"> </w:t>
      </w:r>
      <w:r w:rsidR="00327AD9" w:rsidRPr="00140250">
        <w:rPr>
          <w:rFonts w:ascii="Arial" w:hAnsi="Arial" w:cs="Arial"/>
        </w:rPr>
        <w:t>measure. It also ensures that the terms of the specific obligation are publicly available and discoverable, and less susceptible to change”</w:t>
      </w:r>
      <w:r w:rsidR="00327AD9" w:rsidRPr="00140250">
        <w:rPr>
          <w:rStyle w:val="FootnoteReference"/>
          <w:rFonts w:ascii="Arial" w:hAnsi="Arial" w:cs="Arial"/>
        </w:rPr>
        <w:footnoteReference w:id="74"/>
      </w:r>
      <w:r w:rsidR="00327AD9" w:rsidRPr="00140250">
        <w:rPr>
          <w:rFonts w:ascii="Arial" w:hAnsi="Arial" w:cs="Arial"/>
        </w:rPr>
        <w:t xml:space="preserve"> Regarding the ambit of the regulation, the NT Police were also opposed to the expansion of the service to cover those in protective custody and paperless arrests, citing the significant number of people </w:t>
      </w:r>
      <w:r w:rsidR="00D926FA" w:rsidRPr="00140250">
        <w:rPr>
          <w:rFonts w:ascii="Arial" w:hAnsi="Arial" w:cs="Arial"/>
        </w:rPr>
        <w:t xml:space="preserve">who </w:t>
      </w:r>
      <w:r w:rsidR="00AA5A18" w:rsidRPr="00140250">
        <w:rPr>
          <w:rFonts w:ascii="Arial" w:hAnsi="Arial" w:cs="Arial"/>
        </w:rPr>
        <w:t xml:space="preserve">were </w:t>
      </w:r>
      <w:r w:rsidR="00D926FA" w:rsidRPr="00140250">
        <w:rPr>
          <w:rFonts w:ascii="Arial" w:hAnsi="Arial" w:cs="Arial"/>
        </w:rPr>
        <w:t xml:space="preserve">received into </w:t>
      </w:r>
      <w:r w:rsidR="00AA5A18" w:rsidRPr="00140250">
        <w:rPr>
          <w:rFonts w:ascii="Arial" w:hAnsi="Arial" w:cs="Arial"/>
        </w:rPr>
        <w:t xml:space="preserve">protective </w:t>
      </w:r>
      <w:r w:rsidR="00D926FA" w:rsidRPr="00140250">
        <w:rPr>
          <w:rFonts w:ascii="Arial" w:hAnsi="Arial" w:cs="Arial"/>
        </w:rPr>
        <w:t xml:space="preserve">custody and the burden it would place on their service to meet </w:t>
      </w:r>
      <w:r w:rsidR="00AA5A18" w:rsidRPr="00140250">
        <w:rPr>
          <w:rFonts w:ascii="Arial" w:hAnsi="Arial" w:cs="Arial"/>
        </w:rPr>
        <w:t xml:space="preserve">this </w:t>
      </w:r>
      <w:r w:rsidR="00D926FA" w:rsidRPr="00140250">
        <w:rPr>
          <w:rFonts w:ascii="Arial" w:hAnsi="Arial" w:cs="Arial"/>
        </w:rPr>
        <w:t xml:space="preserve">demand. It must be acknowledged that the CNS does place an additional </w:t>
      </w:r>
      <w:r w:rsidR="0007421F" w:rsidRPr="00140250">
        <w:rPr>
          <w:rFonts w:ascii="Arial" w:hAnsi="Arial" w:cs="Arial"/>
        </w:rPr>
        <w:t xml:space="preserve">burden </w:t>
      </w:r>
      <w:r w:rsidR="00D926FA" w:rsidRPr="00140250">
        <w:rPr>
          <w:rFonts w:ascii="Arial" w:hAnsi="Arial" w:cs="Arial"/>
        </w:rPr>
        <w:t xml:space="preserve">on </w:t>
      </w:r>
      <w:r w:rsidR="0007421F" w:rsidRPr="00140250">
        <w:rPr>
          <w:rFonts w:ascii="Arial" w:hAnsi="Arial" w:cs="Arial"/>
        </w:rPr>
        <w:t xml:space="preserve">the </w:t>
      </w:r>
      <w:r w:rsidR="00D926FA" w:rsidRPr="00140250">
        <w:rPr>
          <w:rFonts w:ascii="Arial" w:hAnsi="Arial" w:cs="Arial"/>
        </w:rPr>
        <w:t xml:space="preserve">already strained resources in police stations and </w:t>
      </w:r>
      <w:r w:rsidR="00CE106B">
        <w:rPr>
          <w:rFonts w:ascii="Arial" w:hAnsi="Arial" w:cs="Arial"/>
        </w:rPr>
        <w:t>watchhouses</w:t>
      </w:r>
      <w:r w:rsidR="00D926FA" w:rsidRPr="00140250">
        <w:rPr>
          <w:rFonts w:ascii="Arial" w:hAnsi="Arial" w:cs="Arial"/>
        </w:rPr>
        <w:t>, but excluding those in custody for paperless arrests and protective custody</w:t>
      </w:r>
      <w:r w:rsidR="00AA5A18" w:rsidRPr="00140250">
        <w:rPr>
          <w:rFonts w:ascii="Arial" w:hAnsi="Arial" w:cs="Arial"/>
        </w:rPr>
        <w:t xml:space="preserve"> from the CNS</w:t>
      </w:r>
      <w:r w:rsidR="00D926FA" w:rsidRPr="00140250">
        <w:rPr>
          <w:rFonts w:ascii="Arial" w:hAnsi="Arial" w:cs="Arial"/>
        </w:rPr>
        <w:t xml:space="preserve"> </w:t>
      </w:r>
      <w:proofErr w:type="gramStart"/>
      <w:r w:rsidR="0007421F" w:rsidRPr="00140250">
        <w:rPr>
          <w:rFonts w:ascii="Arial" w:hAnsi="Arial" w:cs="Arial"/>
        </w:rPr>
        <w:t>“ is</w:t>
      </w:r>
      <w:proofErr w:type="gramEnd"/>
      <w:r w:rsidR="0007421F" w:rsidRPr="00140250">
        <w:rPr>
          <w:rFonts w:ascii="Arial" w:hAnsi="Arial" w:cs="Arial"/>
        </w:rPr>
        <w:t xml:space="preserve"> </w:t>
      </w:r>
      <w:r w:rsidR="00D926FA" w:rsidRPr="00140250">
        <w:rPr>
          <w:rFonts w:ascii="Arial" w:hAnsi="Arial" w:cs="Arial"/>
          <w:color w:val="383838"/>
          <w:shd w:val="clear" w:color="auto" w:fill="FFFFFF"/>
        </w:rPr>
        <w:t>another denial of safeguards</w:t>
      </w:r>
      <w:r w:rsidR="00AA5A18" w:rsidRPr="00140250">
        <w:rPr>
          <w:rFonts w:ascii="Arial" w:hAnsi="Arial" w:cs="Arial"/>
          <w:color w:val="383838"/>
          <w:shd w:val="clear" w:color="auto" w:fill="FFFFFF"/>
        </w:rPr>
        <w:t>.</w:t>
      </w:r>
      <w:r w:rsidR="00D926FA" w:rsidRPr="00140250">
        <w:rPr>
          <w:rFonts w:ascii="Arial" w:hAnsi="Arial" w:cs="Arial"/>
          <w:color w:val="383838"/>
          <w:shd w:val="clear" w:color="auto" w:fill="FFFFFF"/>
        </w:rPr>
        <w:t>”</w:t>
      </w:r>
      <w:r w:rsidR="00D926FA" w:rsidRPr="00140250">
        <w:rPr>
          <w:rStyle w:val="FootnoteReference"/>
          <w:rFonts w:ascii="Arial" w:hAnsi="Arial" w:cs="Arial"/>
          <w:color w:val="383838"/>
          <w:shd w:val="clear" w:color="auto" w:fill="FFFFFF"/>
        </w:rPr>
        <w:footnoteReference w:id="75"/>
      </w:r>
    </w:p>
    <w:p w14:paraId="72053895" w14:textId="77777777" w:rsidR="007D55DC" w:rsidRPr="00140250" w:rsidRDefault="007D55DC" w:rsidP="00502E31">
      <w:pPr>
        <w:rPr>
          <w:rFonts w:ascii="Arial" w:hAnsi="Arial" w:cs="Arial"/>
        </w:rPr>
      </w:pPr>
    </w:p>
    <w:p w14:paraId="4D589806" w14:textId="77777777" w:rsidR="00327AD9" w:rsidRPr="00140250" w:rsidRDefault="00327AD9" w:rsidP="00502E31">
      <w:pPr>
        <w:rPr>
          <w:rFonts w:ascii="Arial" w:hAnsi="Arial" w:cs="Arial"/>
        </w:rPr>
      </w:pPr>
    </w:p>
    <w:p w14:paraId="5ACD0D99" w14:textId="3871031E" w:rsidR="00327AD9" w:rsidRPr="00140250" w:rsidRDefault="00EC3FBB" w:rsidP="00502E31">
      <w:pPr>
        <w:rPr>
          <w:rFonts w:ascii="Arial" w:hAnsi="Arial" w:cs="Arial"/>
          <w:b/>
        </w:rPr>
      </w:pPr>
      <w:r>
        <w:rPr>
          <w:rFonts w:ascii="Arial" w:hAnsi="Arial" w:cs="Arial"/>
          <w:b/>
        </w:rPr>
        <w:t>Operational aspects</w:t>
      </w:r>
    </w:p>
    <w:p w14:paraId="078F843F" w14:textId="77777777" w:rsidR="007D55DC" w:rsidRPr="00140250" w:rsidRDefault="007D55DC" w:rsidP="00502E31">
      <w:pPr>
        <w:rPr>
          <w:rFonts w:ascii="Arial" w:hAnsi="Arial" w:cs="Arial"/>
          <w:b/>
        </w:rPr>
      </w:pPr>
    </w:p>
    <w:p w14:paraId="27D11A50" w14:textId="65C9071E" w:rsidR="00C93705" w:rsidRPr="00140250" w:rsidRDefault="00C93705" w:rsidP="00502E31">
      <w:pPr>
        <w:rPr>
          <w:rFonts w:ascii="Arial" w:hAnsi="Arial" w:cs="Arial"/>
        </w:rPr>
      </w:pPr>
      <w:bookmarkStart w:id="15" w:name="_Hlk107329190"/>
      <w:proofErr w:type="gramStart"/>
      <w:r w:rsidRPr="00140250">
        <w:rPr>
          <w:rFonts w:ascii="Arial" w:hAnsi="Arial" w:cs="Arial"/>
        </w:rPr>
        <w:t>In order to</w:t>
      </w:r>
      <w:proofErr w:type="gramEnd"/>
      <w:r w:rsidRPr="00140250">
        <w:rPr>
          <w:rFonts w:ascii="Arial" w:hAnsi="Arial" w:cs="Arial"/>
        </w:rPr>
        <w:t xml:space="preserve"> effectively operate the CNS, NAAJA and the NT police agreed a M</w:t>
      </w:r>
      <w:r w:rsidR="008714BD">
        <w:rPr>
          <w:rFonts w:ascii="Arial" w:hAnsi="Arial" w:cs="Arial"/>
        </w:rPr>
        <w:t>emorandum of Understanding</w:t>
      </w:r>
      <w:r w:rsidRPr="00140250">
        <w:rPr>
          <w:rFonts w:ascii="Arial" w:hAnsi="Arial" w:cs="Arial"/>
        </w:rPr>
        <w:t xml:space="preserve"> </w:t>
      </w:r>
      <w:r w:rsidR="008714BD">
        <w:rPr>
          <w:rFonts w:ascii="Arial" w:hAnsi="Arial" w:cs="Arial"/>
        </w:rPr>
        <w:t>setting out</w:t>
      </w:r>
      <w:r w:rsidRPr="00140250">
        <w:rPr>
          <w:rFonts w:ascii="Arial" w:hAnsi="Arial" w:cs="Arial"/>
        </w:rPr>
        <w:t xml:space="preserve"> the procedure for notifications. As might be expected with such a significan</w:t>
      </w:r>
      <w:r w:rsidR="004F4F5D" w:rsidRPr="00140250">
        <w:rPr>
          <w:rFonts w:ascii="Arial" w:hAnsi="Arial" w:cs="Arial"/>
        </w:rPr>
        <w:t>t shift in custod</w:t>
      </w:r>
      <w:r w:rsidR="00AA5A18" w:rsidRPr="00140250">
        <w:rPr>
          <w:rFonts w:ascii="Arial" w:hAnsi="Arial" w:cs="Arial"/>
        </w:rPr>
        <w:t>ial</w:t>
      </w:r>
      <w:r w:rsidR="004F4F5D" w:rsidRPr="00140250">
        <w:rPr>
          <w:rFonts w:ascii="Arial" w:hAnsi="Arial" w:cs="Arial"/>
        </w:rPr>
        <w:t xml:space="preserve"> procedure to</w:t>
      </w:r>
      <w:r w:rsidRPr="00140250">
        <w:rPr>
          <w:rFonts w:ascii="Arial" w:hAnsi="Arial" w:cs="Arial"/>
        </w:rPr>
        <w:t xml:space="preserve"> a model involving greater scrutiny, there were </w:t>
      </w:r>
      <w:proofErr w:type="gramStart"/>
      <w:r w:rsidRPr="00140250">
        <w:rPr>
          <w:rFonts w:ascii="Arial" w:hAnsi="Arial" w:cs="Arial"/>
        </w:rPr>
        <w:t>a number of</w:t>
      </w:r>
      <w:proofErr w:type="gramEnd"/>
      <w:r w:rsidRPr="00140250">
        <w:rPr>
          <w:rFonts w:ascii="Arial" w:hAnsi="Arial" w:cs="Arial"/>
        </w:rPr>
        <w:t xml:space="preserve"> officers, including Sergeants, who were resistant and openly hostile to the CNS. </w:t>
      </w:r>
      <w:r w:rsidR="004F4F5D" w:rsidRPr="00140250">
        <w:rPr>
          <w:rFonts w:ascii="Arial" w:hAnsi="Arial" w:cs="Arial"/>
        </w:rPr>
        <w:t xml:space="preserve">Ambiguity </w:t>
      </w:r>
      <w:r w:rsidRPr="00140250">
        <w:rPr>
          <w:rFonts w:ascii="Arial" w:hAnsi="Arial" w:cs="Arial"/>
        </w:rPr>
        <w:t xml:space="preserve">in the regulation was exploited by some of those officers who declined to facilitate any communication between the CNS staff member and the person in custody or facilitated the notification </w:t>
      </w:r>
      <w:r w:rsidRPr="00140250">
        <w:rPr>
          <w:rFonts w:ascii="Arial" w:hAnsi="Arial" w:cs="Arial"/>
          <w:u w:val="single"/>
        </w:rPr>
        <w:t>after</w:t>
      </w:r>
      <w:r w:rsidRPr="00140250">
        <w:rPr>
          <w:rFonts w:ascii="Arial" w:hAnsi="Arial" w:cs="Arial"/>
        </w:rPr>
        <w:t xml:space="preserve"> the person had been charged, </w:t>
      </w:r>
      <w:proofErr w:type="gramStart"/>
      <w:r w:rsidRPr="00140250">
        <w:rPr>
          <w:rFonts w:ascii="Arial" w:hAnsi="Arial" w:cs="Arial"/>
        </w:rPr>
        <w:t>interviewed</w:t>
      </w:r>
      <w:proofErr w:type="gramEnd"/>
      <w:r w:rsidRPr="00140250">
        <w:rPr>
          <w:rFonts w:ascii="Arial" w:hAnsi="Arial" w:cs="Arial"/>
        </w:rPr>
        <w:t xml:space="preserve"> and remanded in custody by the on-call judge, rendering the </w:t>
      </w:r>
      <w:r w:rsidR="0007421F" w:rsidRPr="00140250">
        <w:rPr>
          <w:rFonts w:ascii="Arial" w:hAnsi="Arial" w:cs="Arial"/>
        </w:rPr>
        <w:t>notification futile</w:t>
      </w:r>
      <w:r w:rsidRPr="00140250">
        <w:rPr>
          <w:rFonts w:ascii="Arial" w:hAnsi="Arial" w:cs="Arial"/>
        </w:rPr>
        <w:t>. However, these officers were greatly outnumbered by officers who embraced the scheme and recognised the CNS as an additional layer of protection for persons in their custody and</w:t>
      </w:r>
      <w:r w:rsidR="00AA5A18" w:rsidRPr="00140250">
        <w:rPr>
          <w:rFonts w:ascii="Arial" w:hAnsi="Arial" w:cs="Arial"/>
        </w:rPr>
        <w:t xml:space="preserve"> as a</w:t>
      </w:r>
      <w:r w:rsidRPr="00140250">
        <w:rPr>
          <w:rFonts w:ascii="Arial" w:hAnsi="Arial" w:cs="Arial"/>
        </w:rPr>
        <w:t xml:space="preserve"> means of assisting officers to discharge their duty of care. </w:t>
      </w:r>
      <w:bookmarkEnd w:id="15"/>
      <w:r w:rsidRPr="00140250">
        <w:rPr>
          <w:rFonts w:ascii="Arial" w:hAnsi="Arial" w:cs="Arial"/>
        </w:rPr>
        <w:t>Throughout the process, NT Police senior officers</w:t>
      </w:r>
      <w:r w:rsidR="00AA5A18" w:rsidRPr="00140250">
        <w:rPr>
          <w:rFonts w:ascii="Arial" w:hAnsi="Arial" w:cs="Arial"/>
        </w:rPr>
        <w:t>,</w:t>
      </w:r>
      <w:r w:rsidRPr="00140250">
        <w:rPr>
          <w:rFonts w:ascii="Arial" w:hAnsi="Arial" w:cs="Arial"/>
        </w:rPr>
        <w:t xml:space="preserve"> extending up to the Commissioner</w:t>
      </w:r>
      <w:r w:rsidR="00AA5A18" w:rsidRPr="00140250">
        <w:rPr>
          <w:rFonts w:ascii="Arial" w:hAnsi="Arial" w:cs="Arial"/>
        </w:rPr>
        <w:t>,</w:t>
      </w:r>
      <w:r w:rsidRPr="00140250">
        <w:rPr>
          <w:rFonts w:ascii="Arial" w:hAnsi="Arial" w:cs="Arial"/>
        </w:rPr>
        <w:t xml:space="preserve"> have been supportive</w:t>
      </w:r>
      <w:r w:rsidR="004F4F5D" w:rsidRPr="00140250">
        <w:rPr>
          <w:rFonts w:ascii="Arial" w:hAnsi="Arial" w:cs="Arial"/>
        </w:rPr>
        <w:t xml:space="preserve"> of the CNS</w:t>
      </w:r>
      <w:r w:rsidRPr="00140250">
        <w:rPr>
          <w:rFonts w:ascii="Arial" w:hAnsi="Arial" w:cs="Arial"/>
        </w:rPr>
        <w:t xml:space="preserve"> and have assisted in implementing procedures to monitor compliance and ensure that instances of failure </w:t>
      </w:r>
      <w:r w:rsidR="00CF53B1" w:rsidRPr="00140250">
        <w:rPr>
          <w:rFonts w:ascii="Arial" w:hAnsi="Arial" w:cs="Arial"/>
        </w:rPr>
        <w:t>by</w:t>
      </w:r>
      <w:r w:rsidRPr="00140250">
        <w:rPr>
          <w:rFonts w:ascii="Arial" w:hAnsi="Arial" w:cs="Arial"/>
        </w:rPr>
        <w:t xml:space="preserve"> </w:t>
      </w:r>
      <w:r w:rsidRPr="00140250">
        <w:rPr>
          <w:rFonts w:ascii="Arial" w:hAnsi="Arial" w:cs="Arial"/>
        </w:rPr>
        <w:lastRenderedPageBreak/>
        <w:t xml:space="preserve">police to comply with the regulatory obligation or obligations arising from the MOU are investigated and officers spoken to if a breach has been identified. </w:t>
      </w:r>
    </w:p>
    <w:p w14:paraId="1BEB3619" w14:textId="77777777" w:rsidR="00016724" w:rsidRPr="00140250" w:rsidRDefault="00016724" w:rsidP="00502E31">
      <w:pPr>
        <w:rPr>
          <w:rFonts w:ascii="Arial" w:hAnsi="Arial" w:cs="Arial"/>
        </w:rPr>
      </w:pPr>
    </w:p>
    <w:p w14:paraId="2987180D" w14:textId="64F59DD0" w:rsidR="00016724" w:rsidRPr="00140250" w:rsidRDefault="005C1BCE" w:rsidP="00502E31">
      <w:pPr>
        <w:rPr>
          <w:rFonts w:ascii="Arial" w:hAnsi="Arial" w:cs="Arial"/>
        </w:rPr>
      </w:pPr>
      <w:r w:rsidRPr="00140250">
        <w:rPr>
          <w:rFonts w:ascii="Arial" w:hAnsi="Arial" w:cs="Arial"/>
        </w:rPr>
        <w:t>To</w:t>
      </w:r>
      <w:r w:rsidR="00D61081" w:rsidRPr="00140250">
        <w:rPr>
          <w:rFonts w:ascii="Arial" w:hAnsi="Arial" w:cs="Arial"/>
        </w:rPr>
        <w:t xml:space="preserve"> ensure compliance, there is a weekly data exchange</w:t>
      </w:r>
      <w:r w:rsidRPr="00140250">
        <w:rPr>
          <w:rFonts w:ascii="Arial" w:hAnsi="Arial" w:cs="Arial"/>
        </w:rPr>
        <w:t xml:space="preserve"> between NAAJA and the NT police</w:t>
      </w:r>
      <w:r w:rsidR="00D61081" w:rsidRPr="00140250">
        <w:rPr>
          <w:rFonts w:ascii="Arial" w:hAnsi="Arial" w:cs="Arial"/>
        </w:rPr>
        <w:t xml:space="preserve"> which</w:t>
      </w:r>
      <w:r w:rsidRPr="00140250">
        <w:rPr>
          <w:rFonts w:ascii="Arial" w:hAnsi="Arial" w:cs="Arial"/>
        </w:rPr>
        <w:t xml:space="preserve"> acts as an audit. It</w:t>
      </w:r>
      <w:r w:rsidR="00016724" w:rsidRPr="00140250">
        <w:rPr>
          <w:rFonts w:ascii="Arial" w:hAnsi="Arial" w:cs="Arial"/>
        </w:rPr>
        <w:t xml:space="preserve"> is far from perfect</w:t>
      </w:r>
      <w:r w:rsidR="00C502A6">
        <w:rPr>
          <w:rFonts w:ascii="Arial" w:hAnsi="Arial" w:cs="Arial"/>
        </w:rPr>
        <w:t>,</w:t>
      </w:r>
      <w:r w:rsidR="00D61081" w:rsidRPr="00140250">
        <w:rPr>
          <w:rFonts w:ascii="Arial" w:hAnsi="Arial" w:cs="Arial"/>
        </w:rPr>
        <w:t xml:space="preserve"> due largely to discrepancies in police data</w:t>
      </w:r>
      <w:r w:rsidR="00016724" w:rsidRPr="00140250">
        <w:rPr>
          <w:rFonts w:ascii="Arial" w:hAnsi="Arial" w:cs="Arial"/>
        </w:rPr>
        <w:t>.</w:t>
      </w:r>
      <w:r w:rsidR="00D61081" w:rsidRPr="00140250">
        <w:rPr>
          <w:rFonts w:ascii="Arial" w:hAnsi="Arial" w:cs="Arial"/>
        </w:rPr>
        <w:t xml:space="preserve"> The police</w:t>
      </w:r>
      <w:r w:rsidR="008714BD">
        <w:rPr>
          <w:rFonts w:ascii="Arial" w:hAnsi="Arial" w:cs="Arial"/>
        </w:rPr>
        <w:t xml:space="preserve"> are encumbered </w:t>
      </w:r>
      <w:r w:rsidR="00C502A6">
        <w:rPr>
          <w:rFonts w:ascii="Arial" w:hAnsi="Arial" w:cs="Arial"/>
        </w:rPr>
        <w:t>by</w:t>
      </w:r>
      <w:r w:rsidR="008714BD">
        <w:rPr>
          <w:rFonts w:ascii="Arial" w:hAnsi="Arial" w:cs="Arial"/>
        </w:rPr>
        <w:t xml:space="preserve"> an</w:t>
      </w:r>
      <w:r w:rsidR="00D61081" w:rsidRPr="00140250">
        <w:rPr>
          <w:rFonts w:ascii="Arial" w:hAnsi="Arial" w:cs="Arial"/>
        </w:rPr>
        <w:t xml:space="preserve"> ageing database which is apparently not capable of exporting the required data accurately</w:t>
      </w:r>
      <w:r w:rsidR="008714BD">
        <w:rPr>
          <w:rFonts w:ascii="Arial" w:hAnsi="Arial" w:cs="Arial"/>
        </w:rPr>
        <w:t>. There is also a degree of</w:t>
      </w:r>
      <w:r w:rsidR="00D61081" w:rsidRPr="00140250">
        <w:rPr>
          <w:rFonts w:ascii="Arial" w:hAnsi="Arial" w:cs="Arial"/>
        </w:rPr>
        <w:t xml:space="preserve"> user error</w:t>
      </w:r>
      <w:r w:rsidR="008714BD">
        <w:rPr>
          <w:rFonts w:ascii="Arial" w:hAnsi="Arial" w:cs="Arial"/>
        </w:rPr>
        <w:t xml:space="preserve"> from officers in watch houses</w:t>
      </w:r>
      <w:r w:rsidR="00D61081" w:rsidRPr="00140250">
        <w:rPr>
          <w:rFonts w:ascii="Arial" w:hAnsi="Arial" w:cs="Arial"/>
        </w:rPr>
        <w:t xml:space="preserve">. Whatever the reason, the ongoing unreliability of the data makes it </w:t>
      </w:r>
      <w:r w:rsidR="00016724" w:rsidRPr="00140250">
        <w:rPr>
          <w:rFonts w:ascii="Arial" w:hAnsi="Arial" w:cs="Arial"/>
        </w:rPr>
        <w:t xml:space="preserve">impossible for NAAJA accurately assess the extent to which police are complying with their obligation to notify. </w:t>
      </w:r>
      <w:r w:rsidR="00D61081" w:rsidRPr="00140250">
        <w:rPr>
          <w:rFonts w:ascii="Arial" w:hAnsi="Arial" w:cs="Arial"/>
        </w:rPr>
        <w:t xml:space="preserve">This </w:t>
      </w:r>
      <w:r w:rsidR="008714BD" w:rsidRPr="00140250">
        <w:rPr>
          <w:rFonts w:ascii="Arial" w:hAnsi="Arial" w:cs="Arial"/>
        </w:rPr>
        <w:t>contrasts with</w:t>
      </w:r>
      <w:r w:rsidR="00D61081" w:rsidRPr="00140250">
        <w:rPr>
          <w:rFonts w:ascii="Arial" w:hAnsi="Arial" w:cs="Arial"/>
        </w:rPr>
        <w:t xml:space="preserve"> Western Australia where the police and ALSWA are working together to develop a shared database</w:t>
      </w:r>
      <w:r w:rsidR="00C502A6">
        <w:rPr>
          <w:rFonts w:ascii="Arial" w:hAnsi="Arial" w:cs="Arial"/>
        </w:rPr>
        <w:t xml:space="preserve"> to enable accurate and real time auditing</w:t>
      </w:r>
      <w:r w:rsidR="008714BD">
        <w:rPr>
          <w:rFonts w:ascii="Arial" w:hAnsi="Arial" w:cs="Arial"/>
        </w:rPr>
        <w:t xml:space="preserve">. They also </w:t>
      </w:r>
      <w:r w:rsidR="00410E7A" w:rsidRPr="00140250">
        <w:rPr>
          <w:rFonts w:ascii="Arial" w:hAnsi="Arial" w:cs="Arial"/>
        </w:rPr>
        <w:t xml:space="preserve">have </w:t>
      </w:r>
      <w:r w:rsidR="00C502A6">
        <w:rPr>
          <w:rFonts w:ascii="Arial" w:hAnsi="Arial" w:cs="Arial"/>
        </w:rPr>
        <w:t xml:space="preserve">other </w:t>
      </w:r>
      <w:r w:rsidR="00410E7A" w:rsidRPr="00140250">
        <w:rPr>
          <w:rFonts w:ascii="Arial" w:hAnsi="Arial" w:cs="Arial"/>
        </w:rPr>
        <w:t xml:space="preserve">rigorous </w:t>
      </w:r>
      <w:r w:rsidR="008714BD">
        <w:rPr>
          <w:rFonts w:ascii="Arial" w:hAnsi="Arial" w:cs="Arial"/>
        </w:rPr>
        <w:t>police-led</w:t>
      </w:r>
      <w:r w:rsidR="00410E7A" w:rsidRPr="00140250">
        <w:rPr>
          <w:rFonts w:ascii="Arial" w:hAnsi="Arial" w:cs="Arial"/>
        </w:rPr>
        <w:t xml:space="preserve"> audit processes</w:t>
      </w:r>
      <w:r w:rsidR="00D61081" w:rsidRPr="00140250">
        <w:rPr>
          <w:rFonts w:ascii="Arial" w:hAnsi="Arial" w:cs="Arial"/>
        </w:rPr>
        <w:t>.</w:t>
      </w:r>
      <w:r w:rsidR="00410E7A" w:rsidRPr="00140250">
        <w:rPr>
          <w:rFonts w:ascii="Arial" w:hAnsi="Arial" w:cs="Arial"/>
        </w:rPr>
        <w:t xml:space="preserve"> As best as</w:t>
      </w:r>
      <w:r w:rsidRPr="00140250">
        <w:rPr>
          <w:rFonts w:ascii="Arial" w:hAnsi="Arial" w:cs="Arial"/>
        </w:rPr>
        <w:t xml:space="preserve"> </w:t>
      </w:r>
      <w:r w:rsidR="008714BD">
        <w:rPr>
          <w:rFonts w:ascii="Arial" w:hAnsi="Arial" w:cs="Arial"/>
        </w:rPr>
        <w:t>we</w:t>
      </w:r>
      <w:r w:rsidR="00410E7A" w:rsidRPr="00140250">
        <w:rPr>
          <w:rFonts w:ascii="Arial" w:hAnsi="Arial" w:cs="Arial"/>
        </w:rPr>
        <w:t xml:space="preserve"> can ascertain, the</w:t>
      </w:r>
      <w:r w:rsidRPr="00140250">
        <w:rPr>
          <w:rFonts w:ascii="Arial" w:hAnsi="Arial" w:cs="Arial"/>
        </w:rPr>
        <w:t xml:space="preserve"> CNS</w:t>
      </w:r>
      <w:r w:rsidR="00410E7A" w:rsidRPr="00140250">
        <w:rPr>
          <w:rFonts w:ascii="Arial" w:hAnsi="Arial" w:cs="Arial"/>
        </w:rPr>
        <w:t xml:space="preserve"> speak to</w:t>
      </w:r>
      <w:r w:rsidRPr="00140250">
        <w:rPr>
          <w:rFonts w:ascii="Arial" w:hAnsi="Arial" w:cs="Arial"/>
        </w:rPr>
        <w:t xml:space="preserve"> approximately</w:t>
      </w:r>
      <w:r w:rsidR="00410E7A" w:rsidRPr="00140250">
        <w:rPr>
          <w:rFonts w:ascii="Arial" w:hAnsi="Arial" w:cs="Arial"/>
        </w:rPr>
        <w:t xml:space="preserve"> 85% of people eligible for a notification. Of those we don’t speak to, approximately half decline</w:t>
      </w:r>
      <w:r w:rsidR="008714BD">
        <w:rPr>
          <w:rFonts w:ascii="Arial" w:hAnsi="Arial" w:cs="Arial"/>
        </w:rPr>
        <w:t>;</w:t>
      </w:r>
      <w:r w:rsidR="0078118A" w:rsidRPr="00140250">
        <w:rPr>
          <w:rFonts w:ascii="Arial" w:hAnsi="Arial" w:cs="Arial"/>
        </w:rPr>
        <w:t xml:space="preserve"> some end up at</w:t>
      </w:r>
      <w:r w:rsidR="008714BD">
        <w:rPr>
          <w:rFonts w:ascii="Arial" w:hAnsi="Arial" w:cs="Arial"/>
        </w:rPr>
        <w:t xml:space="preserve"> the hospital or speaking to private lawyers</w:t>
      </w:r>
      <w:r w:rsidR="00410E7A" w:rsidRPr="00140250">
        <w:rPr>
          <w:rFonts w:ascii="Arial" w:hAnsi="Arial" w:cs="Arial"/>
        </w:rPr>
        <w:t xml:space="preserve">. </w:t>
      </w:r>
      <w:r w:rsidR="0078118A" w:rsidRPr="00140250">
        <w:rPr>
          <w:rFonts w:ascii="Arial" w:hAnsi="Arial" w:cs="Arial"/>
        </w:rPr>
        <w:t xml:space="preserve">The remainder simply </w:t>
      </w:r>
      <w:proofErr w:type="gramStart"/>
      <w:r w:rsidR="008714BD">
        <w:rPr>
          <w:rFonts w:ascii="Arial" w:hAnsi="Arial" w:cs="Arial"/>
        </w:rPr>
        <w:t>fall</w:t>
      </w:r>
      <w:proofErr w:type="gramEnd"/>
      <w:r w:rsidR="0078118A" w:rsidRPr="00140250">
        <w:rPr>
          <w:rFonts w:ascii="Arial" w:hAnsi="Arial" w:cs="Arial"/>
        </w:rPr>
        <w:t xml:space="preserve"> </w:t>
      </w:r>
      <w:r w:rsidRPr="00140250">
        <w:rPr>
          <w:rFonts w:ascii="Arial" w:hAnsi="Arial" w:cs="Arial"/>
        </w:rPr>
        <w:t>into the black hole</w:t>
      </w:r>
      <w:r w:rsidR="0078118A" w:rsidRPr="00140250">
        <w:rPr>
          <w:rFonts w:ascii="Arial" w:hAnsi="Arial" w:cs="Arial"/>
        </w:rPr>
        <w:t xml:space="preserve">. </w:t>
      </w:r>
      <w:r w:rsidR="00410E7A" w:rsidRPr="00140250">
        <w:rPr>
          <w:rFonts w:ascii="Arial" w:hAnsi="Arial" w:cs="Arial"/>
        </w:rPr>
        <w:t xml:space="preserve"> </w:t>
      </w:r>
      <w:r w:rsidR="004F4F5D" w:rsidRPr="00140250">
        <w:rPr>
          <w:rFonts w:ascii="Arial" w:hAnsi="Arial" w:cs="Arial"/>
        </w:rPr>
        <w:t xml:space="preserve">The primary reason for this is the wording of the regulation itself which places the onus on the </w:t>
      </w:r>
      <w:r w:rsidR="008714BD">
        <w:rPr>
          <w:rFonts w:ascii="Arial" w:hAnsi="Arial" w:cs="Arial"/>
        </w:rPr>
        <w:t xml:space="preserve">police </w:t>
      </w:r>
      <w:r w:rsidR="004F4F5D" w:rsidRPr="00140250">
        <w:rPr>
          <w:rFonts w:ascii="Arial" w:hAnsi="Arial" w:cs="Arial"/>
        </w:rPr>
        <w:t>officer to notify</w:t>
      </w:r>
      <w:r w:rsidR="0078118A" w:rsidRPr="00140250">
        <w:rPr>
          <w:rFonts w:ascii="Arial" w:hAnsi="Arial" w:cs="Arial"/>
        </w:rPr>
        <w:t xml:space="preserve"> the CNS</w:t>
      </w:r>
      <w:r w:rsidR="004F4F5D" w:rsidRPr="00140250">
        <w:rPr>
          <w:rFonts w:ascii="Arial" w:hAnsi="Arial" w:cs="Arial"/>
        </w:rPr>
        <w:t xml:space="preserve"> but not to facilitate communication. Until this is rectified, a significant number of people will not be afforded the benefit and protection </w:t>
      </w:r>
      <w:r w:rsidR="0078118A" w:rsidRPr="00140250">
        <w:rPr>
          <w:rFonts w:ascii="Arial" w:hAnsi="Arial" w:cs="Arial"/>
        </w:rPr>
        <w:t>of speaking to a CNS staff member</w:t>
      </w:r>
      <w:r w:rsidR="004F4F5D" w:rsidRPr="00140250">
        <w:rPr>
          <w:rFonts w:ascii="Arial" w:hAnsi="Arial" w:cs="Arial"/>
        </w:rPr>
        <w:t xml:space="preserve">. </w:t>
      </w:r>
    </w:p>
    <w:p w14:paraId="3EB282B0" w14:textId="77777777" w:rsidR="00FF4DDA" w:rsidRPr="00140250" w:rsidRDefault="00FF4DDA" w:rsidP="00502E31">
      <w:pPr>
        <w:rPr>
          <w:rFonts w:ascii="Arial" w:hAnsi="Arial" w:cs="Arial"/>
        </w:rPr>
      </w:pPr>
    </w:p>
    <w:p w14:paraId="37767D58" w14:textId="72973878" w:rsidR="00FF4DDA" w:rsidRPr="00140250" w:rsidRDefault="00996094" w:rsidP="00502E31">
      <w:pPr>
        <w:rPr>
          <w:rFonts w:ascii="Arial" w:hAnsi="Arial" w:cs="Arial"/>
          <w:b/>
        </w:rPr>
      </w:pPr>
      <w:r w:rsidRPr="00140250">
        <w:rPr>
          <w:rFonts w:ascii="Arial" w:hAnsi="Arial" w:cs="Arial"/>
          <w:b/>
        </w:rPr>
        <w:t>NAAJA CNS</w:t>
      </w:r>
    </w:p>
    <w:p w14:paraId="2E5E50F3" w14:textId="77777777" w:rsidR="00996094" w:rsidRPr="00140250" w:rsidRDefault="00996094" w:rsidP="00502E31">
      <w:pPr>
        <w:rPr>
          <w:rFonts w:ascii="Arial" w:hAnsi="Arial" w:cs="Arial"/>
        </w:rPr>
      </w:pPr>
    </w:p>
    <w:p w14:paraId="1FA68AE8" w14:textId="1BB7E8A8" w:rsidR="0015141B" w:rsidRPr="00140250" w:rsidRDefault="00CF53B1" w:rsidP="00FF4DDA">
      <w:pPr>
        <w:rPr>
          <w:rFonts w:ascii="Arial" w:hAnsi="Arial" w:cs="Arial"/>
        </w:rPr>
      </w:pPr>
      <w:r w:rsidRPr="00140250">
        <w:rPr>
          <w:rFonts w:ascii="Arial" w:hAnsi="Arial" w:cs="Arial"/>
        </w:rPr>
        <w:t>NAAJA’s</w:t>
      </w:r>
      <w:r w:rsidR="00FF4DDA" w:rsidRPr="00140250">
        <w:rPr>
          <w:rFonts w:ascii="Arial" w:hAnsi="Arial" w:cs="Arial"/>
        </w:rPr>
        <w:t xml:space="preserve"> CNS is led by an Aboriginal CEO, an Aboriginal P</w:t>
      </w:r>
      <w:r w:rsidR="0078118A" w:rsidRPr="00140250">
        <w:rPr>
          <w:rFonts w:ascii="Arial" w:hAnsi="Arial" w:cs="Arial"/>
        </w:rPr>
        <w:t xml:space="preserve">rincipal </w:t>
      </w:r>
      <w:r w:rsidR="00FF4DDA" w:rsidRPr="00140250">
        <w:rPr>
          <w:rFonts w:ascii="Arial" w:hAnsi="Arial" w:cs="Arial"/>
        </w:rPr>
        <w:t>L</w:t>
      </w:r>
      <w:r w:rsidR="0078118A" w:rsidRPr="00140250">
        <w:rPr>
          <w:rFonts w:ascii="Arial" w:hAnsi="Arial" w:cs="Arial"/>
        </w:rPr>
        <w:t xml:space="preserve">egal </w:t>
      </w:r>
      <w:r w:rsidR="00FF4DDA" w:rsidRPr="00140250">
        <w:rPr>
          <w:rFonts w:ascii="Arial" w:hAnsi="Arial" w:cs="Arial"/>
        </w:rPr>
        <w:t>O</w:t>
      </w:r>
      <w:r w:rsidR="0078118A" w:rsidRPr="00140250">
        <w:rPr>
          <w:rFonts w:ascii="Arial" w:hAnsi="Arial" w:cs="Arial"/>
        </w:rPr>
        <w:t>fficer</w:t>
      </w:r>
      <w:r w:rsidR="00FF4DDA" w:rsidRPr="00140250">
        <w:rPr>
          <w:rFonts w:ascii="Arial" w:hAnsi="Arial" w:cs="Arial"/>
        </w:rPr>
        <w:t xml:space="preserve">, </w:t>
      </w:r>
      <w:r w:rsidR="00440911">
        <w:rPr>
          <w:rFonts w:ascii="Arial" w:hAnsi="Arial" w:cs="Arial"/>
        </w:rPr>
        <w:t xml:space="preserve">and </w:t>
      </w:r>
      <w:r w:rsidR="00FF4DDA" w:rsidRPr="00140250">
        <w:rPr>
          <w:rFonts w:ascii="Arial" w:hAnsi="Arial" w:cs="Arial"/>
        </w:rPr>
        <w:t>an Aboriginal board</w:t>
      </w:r>
      <w:r w:rsidR="0078118A" w:rsidRPr="00140250">
        <w:rPr>
          <w:rFonts w:ascii="Arial" w:hAnsi="Arial" w:cs="Arial"/>
        </w:rPr>
        <w:t>.</w:t>
      </w:r>
      <w:r w:rsidR="00FF4DDA" w:rsidRPr="00140250">
        <w:rPr>
          <w:rFonts w:ascii="Arial" w:hAnsi="Arial" w:cs="Arial"/>
        </w:rPr>
        <w:t xml:space="preserve"> </w:t>
      </w:r>
      <w:r w:rsidR="0078118A" w:rsidRPr="00140250">
        <w:rPr>
          <w:rFonts w:ascii="Arial" w:hAnsi="Arial" w:cs="Arial"/>
        </w:rPr>
        <w:t>O</w:t>
      </w:r>
      <w:r w:rsidR="00FF4DDA" w:rsidRPr="00140250">
        <w:rPr>
          <w:rFonts w:ascii="Arial" w:hAnsi="Arial" w:cs="Arial"/>
        </w:rPr>
        <w:t>ver 50</w:t>
      </w:r>
      <w:r w:rsidR="0031291E" w:rsidRPr="00140250">
        <w:rPr>
          <w:rFonts w:ascii="Arial" w:hAnsi="Arial" w:cs="Arial"/>
        </w:rPr>
        <w:t>%</w:t>
      </w:r>
      <w:r w:rsidR="00FF4DDA" w:rsidRPr="00140250">
        <w:rPr>
          <w:rFonts w:ascii="Arial" w:hAnsi="Arial" w:cs="Arial"/>
        </w:rPr>
        <w:t xml:space="preserve"> of </w:t>
      </w:r>
      <w:r w:rsidR="0078118A" w:rsidRPr="00140250">
        <w:rPr>
          <w:rFonts w:ascii="Arial" w:hAnsi="Arial" w:cs="Arial"/>
        </w:rPr>
        <w:t>the staff at NAAJA</w:t>
      </w:r>
      <w:r w:rsidRPr="00140250">
        <w:rPr>
          <w:rFonts w:ascii="Arial" w:hAnsi="Arial" w:cs="Arial"/>
        </w:rPr>
        <w:t>,</w:t>
      </w:r>
      <w:r w:rsidR="0078118A" w:rsidRPr="00140250">
        <w:rPr>
          <w:rFonts w:ascii="Arial" w:hAnsi="Arial" w:cs="Arial"/>
        </w:rPr>
        <w:t xml:space="preserve"> and in the CNS</w:t>
      </w:r>
      <w:r w:rsidRPr="00140250">
        <w:rPr>
          <w:rFonts w:ascii="Arial" w:hAnsi="Arial" w:cs="Arial"/>
        </w:rPr>
        <w:t>,</w:t>
      </w:r>
      <w:r w:rsidR="0078118A" w:rsidRPr="00140250">
        <w:rPr>
          <w:rFonts w:ascii="Arial" w:hAnsi="Arial" w:cs="Arial"/>
        </w:rPr>
        <w:t xml:space="preserve"> </w:t>
      </w:r>
      <w:r w:rsidR="00FF4DDA" w:rsidRPr="00140250">
        <w:rPr>
          <w:rFonts w:ascii="Arial" w:hAnsi="Arial" w:cs="Arial"/>
        </w:rPr>
        <w:t>are Aboriginal. All the</w:t>
      </w:r>
      <w:r w:rsidR="0015141B" w:rsidRPr="00140250">
        <w:rPr>
          <w:rFonts w:ascii="Arial" w:hAnsi="Arial" w:cs="Arial"/>
        </w:rPr>
        <w:t xml:space="preserve"> CNS</w:t>
      </w:r>
      <w:r w:rsidR="00FF4DDA" w:rsidRPr="00140250">
        <w:rPr>
          <w:rFonts w:ascii="Arial" w:hAnsi="Arial" w:cs="Arial"/>
        </w:rPr>
        <w:t xml:space="preserve"> staff have been highly trained in </w:t>
      </w:r>
      <w:r w:rsidRPr="00140250">
        <w:rPr>
          <w:rFonts w:ascii="Arial" w:hAnsi="Arial" w:cs="Arial"/>
        </w:rPr>
        <w:t>responding to</w:t>
      </w:r>
      <w:r w:rsidR="00FF4DDA" w:rsidRPr="00140250">
        <w:rPr>
          <w:rFonts w:ascii="Arial" w:hAnsi="Arial" w:cs="Arial"/>
        </w:rPr>
        <w:t xml:space="preserve"> vulnerable pe</w:t>
      </w:r>
      <w:r w:rsidR="0015141B" w:rsidRPr="00140250">
        <w:rPr>
          <w:rFonts w:ascii="Arial" w:hAnsi="Arial" w:cs="Arial"/>
        </w:rPr>
        <w:t>ople</w:t>
      </w:r>
      <w:r w:rsidR="00FF4DDA" w:rsidRPr="00140250">
        <w:rPr>
          <w:rFonts w:ascii="Arial" w:hAnsi="Arial" w:cs="Arial"/>
        </w:rPr>
        <w:t xml:space="preserve"> in custody, including trauma awareness training, </w:t>
      </w:r>
      <w:r w:rsidR="0078118A" w:rsidRPr="00140250">
        <w:rPr>
          <w:rFonts w:ascii="Arial" w:hAnsi="Arial" w:cs="Arial"/>
        </w:rPr>
        <w:t>a</w:t>
      </w:r>
      <w:r w:rsidR="00FF4DDA" w:rsidRPr="00140250">
        <w:rPr>
          <w:rFonts w:ascii="Arial" w:hAnsi="Arial" w:cs="Arial"/>
        </w:rPr>
        <w:t xml:space="preserve">pplied suicide intervention </w:t>
      </w:r>
      <w:proofErr w:type="gramStart"/>
      <w:r w:rsidR="00FF4DDA" w:rsidRPr="00140250">
        <w:rPr>
          <w:rFonts w:ascii="Arial" w:hAnsi="Arial" w:cs="Arial"/>
        </w:rPr>
        <w:t>skills</w:t>
      </w:r>
      <w:proofErr w:type="gramEnd"/>
      <w:r w:rsidR="0078118A" w:rsidRPr="00140250">
        <w:rPr>
          <w:rFonts w:ascii="Arial" w:hAnsi="Arial" w:cs="Arial"/>
        </w:rPr>
        <w:t xml:space="preserve"> and</w:t>
      </w:r>
      <w:r w:rsidR="00FF4DDA" w:rsidRPr="00140250">
        <w:rPr>
          <w:rFonts w:ascii="Arial" w:hAnsi="Arial" w:cs="Arial"/>
        </w:rPr>
        <w:t xml:space="preserve"> working with interpreters</w:t>
      </w:r>
      <w:r w:rsidR="00440911">
        <w:rPr>
          <w:rFonts w:ascii="Arial" w:hAnsi="Arial" w:cs="Arial"/>
        </w:rPr>
        <w:t>, and are provided with a 200-page manual</w:t>
      </w:r>
      <w:r w:rsidR="00FF4DDA" w:rsidRPr="00140250">
        <w:rPr>
          <w:rFonts w:ascii="Arial" w:hAnsi="Arial" w:cs="Arial"/>
        </w:rPr>
        <w:t xml:space="preserve">. </w:t>
      </w:r>
      <w:r w:rsidR="004F4F5D" w:rsidRPr="00140250">
        <w:rPr>
          <w:rFonts w:ascii="Arial" w:hAnsi="Arial" w:cs="Arial"/>
        </w:rPr>
        <w:t>Notwithstanding the challenges faced by the design an</w:t>
      </w:r>
      <w:r w:rsidR="003D59E8" w:rsidRPr="00140250">
        <w:rPr>
          <w:rFonts w:ascii="Arial" w:hAnsi="Arial" w:cs="Arial"/>
        </w:rPr>
        <w:t>d</w:t>
      </w:r>
      <w:r w:rsidR="004F4F5D" w:rsidRPr="00140250">
        <w:rPr>
          <w:rFonts w:ascii="Arial" w:hAnsi="Arial" w:cs="Arial"/>
        </w:rPr>
        <w:t xml:space="preserve"> implementation of the service, it has been a</w:t>
      </w:r>
      <w:r w:rsidRPr="00140250">
        <w:rPr>
          <w:rFonts w:ascii="Arial" w:hAnsi="Arial" w:cs="Arial"/>
        </w:rPr>
        <w:t xml:space="preserve"> </w:t>
      </w:r>
      <w:r w:rsidR="00440911">
        <w:rPr>
          <w:rFonts w:ascii="Arial" w:hAnsi="Arial" w:cs="Arial"/>
        </w:rPr>
        <w:t>genuine</w:t>
      </w:r>
      <w:r w:rsidR="004F4F5D" w:rsidRPr="00140250">
        <w:rPr>
          <w:rFonts w:ascii="Arial" w:hAnsi="Arial" w:cs="Arial"/>
        </w:rPr>
        <w:t xml:space="preserve"> success. For the 12 months </w:t>
      </w:r>
      <w:r w:rsidR="00FF4DDA" w:rsidRPr="00140250">
        <w:rPr>
          <w:rFonts w:ascii="Arial" w:hAnsi="Arial" w:cs="Arial"/>
        </w:rPr>
        <w:t>from 30 June 202</w:t>
      </w:r>
      <w:r w:rsidR="00230DB6" w:rsidRPr="00140250">
        <w:rPr>
          <w:rFonts w:ascii="Arial" w:hAnsi="Arial" w:cs="Arial"/>
        </w:rPr>
        <w:t>0</w:t>
      </w:r>
      <w:r w:rsidR="00FF4DDA" w:rsidRPr="00140250">
        <w:rPr>
          <w:rFonts w:ascii="Arial" w:hAnsi="Arial" w:cs="Arial"/>
        </w:rPr>
        <w:t xml:space="preserve"> to</w:t>
      </w:r>
      <w:r w:rsidR="00024F25" w:rsidRPr="00140250">
        <w:rPr>
          <w:rFonts w:ascii="Arial" w:hAnsi="Arial" w:cs="Arial"/>
        </w:rPr>
        <w:t xml:space="preserve"> 30 June 202</w:t>
      </w:r>
      <w:r w:rsidR="00230DB6" w:rsidRPr="00140250">
        <w:rPr>
          <w:rFonts w:ascii="Arial" w:hAnsi="Arial" w:cs="Arial"/>
        </w:rPr>
        <w:t>1</w:t>
      </w:r>
      <w:r w:rsidR="00FF4DDA" w:rsidRPr="00140250">
        <w:rPr>
          <w:rFonts w:ascii="Arial" w:hAnsi="Arial" w:cs="Arial"/>
        </w:rPr>
        <w:t>, the CNS received 8340 notifications and assisted 6939 of those notifications. 743 of those were youths, some as young as 10 years old, including one youth who was so small the police could not fit an electronic monitor around his ankle. Of those spoken to, 1357 disclosed injuries, and 1437 disclosed that they were taking medication at the time</w:t>
      </w:r>
      <w:r w:rsidRPr="00140250">
        <w:rPr>
          <w:rFonts w:ascii="Arial" w:hAnsi="Arial" w:cs="Arial"/>
        </w:rPr>
        <w:t>,</w:t>
      </w:r>
      <w:r w:rsidR="00FF4DDA" w:rsidRPr="00140250">
        <w:rPr>
          <w:rFonts w:ascii="Arial" w:hAnsi="Arial" w:cs="Arial"/>
        </w:rPr>
        <w:t xml:space="preserve"> mostly for chronic illnesses. 49 disclosed being pregnant, 58 disclosed that they were breastfeeding mothers. 152 disclosed</w:t>
      </w:r>
      <w:r w:rsidR="00F8014C" w:rsidRPr="00140250">
        <w:rPr>
          <w:rFonts w:ascii="Arial" w:hAnsi="Arial" w:cs="Arial"/>
        </w:rPr>
        <w:t xml:space="preserve"> thoughts or intentions to self-</w:t>
      </w:r>
      <w:r w:rsidR="00FF4DDA" w:rsidRPr="00140250">
        <w:rPr>
          <w:rFonts w:ascii="Arial" w:hAnsi="Arial" w:cs="Arial"/>
        </w:rPr>
        <w:t xml:space="preserve">harm. </w:t>
      </w:r>
      <w:r w:rsidR="00440911">
        <w:rPr>
          <w:rFonts w:ascii="Arial" w:hAnsi="Arial" w:cs="Arial"/>
        </w:rPr>
        <w:t xml:space="preserve">Many required interpreters. </w:t>
      </w:r>
      <w:r w:rsidR="00FF4DDA" w:rsidRPr="00140250">
        <w:rPr>
          <w:rFonts w:ascii="Arial" w:hAnsi="Arial" w:cs="Arial"/>
        </w:rPr>
        <w:t xml:space="preserve">But those numbers alone don’t tell the full impact that the CNS can have.  </w:t>
      </w:r>
    </w:p>
    <w:p w14:paraId="4F70A2B4" w14:textId="77777777" w:rsidR="0015141B" w:rsidRPr="00140250" w:rsidRDefault="0015141B" w:rsidP="00FF4DDA">
      <w:pPr>
        <w:rPr>
          <w:rFonts w:ascii="Arial" w:hAnsi="Arial" w:cs="Arial"/>
        </w:rPr>
      </w:pPr>
    </w:p>
    <w:p w14:paraId="2C74C94D" w14:textId="1A1E8B54" w:rsidR="001B32E0" w:rsidRPr="00140250" w:rsidRDefault="007C58B8" w:rsidP="00FF4DDA">
      <w:pPr>
        <w:rPr>
          <w:rFonts w:ascii="Arial" w:hAnsi="Arial" w:cs="Arial"/>
        </w:rPr>
      </w:pPr>
      <w:r w:rsidRPr="00140250">
        <w:rPr>
          <w:rFonts w:ascii="Arial" w:hAnsi="Arial" w:cs="Arial"/>
        </w:rPr>
        <w:t>The tru</w:t>
      </w:r>
      <w:r w:rsidR="0015141B" w:rsidRPr="00140250">
        <w:rPr>
          <w:rFonts w:ascii="Arial" w:hAnsi="Arial" w:cs="Arial"/>
        </w:rPr>
        <w:t xml:space="preserve">e </w:t>
      </w:r>
      <w:r w:rsidRPr="00140250">
        <w:rPr>
          <w:rFonts w:ascii="Arial" w:hAnsi="Arial" w:cs="Arial"/>
        </w:rPr>
        <w:t xml:space="preserve">worth of the CNS comes from the </w:t>
      </w:r>
      <w:r w:rsidR="00FF4DDA" w:rsidRPr="00140250">
        <w:rPr>
          <w:rFonts w:ascii="Arial" w:hAnsi="Arial" w:cs="Arial"/>
        </w:rPr>
        <w:t>individual stories</w:t>
      </w:r>
      <w:bookmarkStart w:id="16" w:name="_Hlk107329859"/>
      <w:r w:rsidR="00A2123C" w:rsidRPr="00140250">
        <w:rPr>
          <w:rStyle w:val="FootnoteReference"/>
          <w:rFonts w:ascii="Arial" w:hAnsi="Arial" w:cs="Arial"/>
        </w:rPr>
        <w:footnoteReference w:id="76"/>
      </w:r>
      <w:r w:rsidR="00FC1C4B" w:rsidRPr="00140250">
        <w:rPr>
          <w:rFonts w:ascii="Arial" w:hAnsi="Arial" w:cs="Arial"/>
        </w:rPr>
        <w:t xml:space="preserve">, </w:t>
      </w:r>
      <w:r w:rsidRPr="00140250">
        <w:rPr>
          <w:rFonts w:ascii="Arial" w:hAnsi="Arial" w:cs="Arial"/>
        </w:rPr>
        <w:t>of</w:t>
      </w:r>
      <w:r w:rsidR="00FC1C4B" w:rsidRPr="00140250">
        <w:rPr>
          <w:rFonts w:ascii="Arial" w:hAnsi="Arial" w:cs="Arial"/>
        </w:rPr>
        <w:t xml:space="preserve"> </w:t>
      </w:r>
      <w:r w:rsidR="00CA6199" w:rsidRPr="00140250">
        <w:rPr>
          <w:rFonts w:ascii="Arial" w:hAnsi="Arial" w:cs="Arial"/>
        </w:rPr>
        <w:t xml:space="preserve">those </w:t>
      </w:r>
      <w:r w:rsidR="00FC1C4B" w:rsidRPr="00140250">
        <w:rPr>
          <w:rFonts w:ascii="Arial" w:hAnsi="Arial" w:cs="Arial"/>
        </w:rPr>
        <w:t xml:space="preserve">people who were </w:t>
      </w:r>
      <w:r w:rsidRPr="00140250">
        <w:rPr>
          <w:rFonts w:ascii="Arial" w:hAnsi="Arial" w:cs="Arial"/>
        </w:rPr>
        <w:t>openly</w:t>
      </w:r>
      <w:r w:rsidR="00FC1C4B" w:rsidRPr="00140250">
        <w:rPr>
          <w:rFonts w:ascii="Arial" w:hAnsi="Arial" w:cs="Arial"/>
        </w:rPr>
        <w:t xml:space="preserve"> considering suicide </w:t>
      </w:r>
      <w:r w:rsidRPr="00140250">
        <w:rPr>
          <w:rFonts w:ascii="Arial" w:hAnsi="Arial" w:cs="Arial"/>
        </w:rPr>
        <w:t xml:space="preserve">and </w:t>
      </w:r>
      <w:r w:rsidR="00FC1C4B" w:rsidRPr="00140250">
        <w:rPr>
          <w:rFonts w:ascii="Arial" w:hAnsi="Arial" w:cs="Arial"/>
        </w:rPr>
        <w:t xml:space="preserve">were able to </w:t>
      </w:r>
      <w:r w:rsidR="00CF53B1" w:rsidRPr="00140250">
        <w:rPr>
          <w:rFonts w:ascii="Arial" w:hAnsi="Arial" w:cs="Arial"/>
        </w:rPr>
        <w:t xml:space="preserve">be </w:t>
      </w:r>
      <w:r w:rsidRPr="00140250">
        <w:rPr>
          <w:rFonts w:ascii="Arial" w:hAnsi="Arial" w:cs="Arial"/>
        </w:rPr>
        <w:t>supported by our staff,</w:t>
      </w:r>
      <w:r w:rsidR="00FC1C4B" w:rsidRPr="00140250">
        <w:rPr>
          <w:rFonts w:ascii="Arial" w:hAnsi="Arial" w:cs="Arial"/>
        </w:rPr>
        <w:t xml:space="preserve"> o</w:t>
      </w:r>
      <w:r w:rsidRPr="00140250">
        <w:rPr>
          <w:rFonts w:ascii="Arial" w:hAnsi="Arial" w:cs="Arial"/>
        </w:rPr>
        <w:t xml:space="preserve">f people who </w:t>
      </w:r>
      <w:r w:rsidR="00FC1C4B" w:rsidRPr="00140250">
        <w:rPr>
          <w:rFonts w:ascii="Arial" w:hAnsi="Arial" w:cs="Arial"/>
        </w:rPr>
        <w:t>were released on bail on compassionate grounds by police</w:t>
      </w:r>
      <w:r w:rsidRPr="00140250">
        <w:rPr>
          <w:rFonts w:ascii="Arial" w:hAnsi="Arial" w:cs="Arial"/>
        </w:rPr>
        <w:t xml:space="preserve"> after our staff </w:t>
      </w:r>
      <w:r w:rsidR="0015141B" w:rsidRPr="00140250">
        <w:rPr>
          <w:rFonts w:ascii="Arial" w:hAnsi="Arial" w:cs="Arial"/>
        </w:rPr>
        <w:t>advocated on their behalf</w:t>
      </w:r>
      <w:r w:rsidR="00FC1C4B" w:rsidRPr="00140250">
        <w:rPr>
          <w:rFonts w:ascii="Arial" w:hAnsi="Arial" w:cs="Arial"/>
        </w:rPr>
        <w:t xml:space="preserve">, or </w:t>
      </w:r>
      <w:r w:rsidRPr="00140250">
        <w:rPr>
          <w:rFonts w:ascii="Arial" w:hAnsi="Arial" w:cs="Arial"/>
        </w:rPr>
        <w:t xml:space="preserve">who were </w:t>
      </w:r>
      <w:r w:rsidR="00FC1C4B" w:rsidRPr="00140250">
        <w:rPr>
          <w:rFonts w:ascii="Arial" w:hAnsi="Arial" w:cs="Arial"/>
        </w:rPr>
        <w:t>able to express mil</w:t>
      </w:r>
      <w:r w:rsidRPr="00140250">
        <w:rPr>
          <w:rFonts w:ascii="Arial" w:hAnsi="Arial" w:cs="Arial"/>
        </w:rPr>
        <w:t>k</w:t>
      </w:r>
      <w:r w:rsidR="00FC1C4B" w:rsidRPr="00140250">
        <w:rPr>
          <w:rFonts w:ascii="Arial" w:hAnsi="Arial" w:cs="Arial"/>
        </w:rPr>
        <w:t xml:space="preserve"> for their infants</w:t>
      </w:r>
      <w:r w:rsidRPr="00140250">
        <w:rPr>
          <w:rFonts w:ascii="Arial" w:hAnsi="Arial" w:cs="Arial"/>
        </w:rPr>
        <w:t xml:space="preserve"> after our staff made arrangements for this to occur</w:t>
      </w:r>
      <w:r w:rsidR="00FC1C4B" w:rsidRPr="00140250">
        <w:rPr>
          <w:rFonts w:ascii="Arial" w:hAnsi="Arial" w:cs="Arial"/>
        </w:rPr>
        <w:t xml:space="preserve">, or </w:t>
      </w:r>
      <w:r w:rsidRPr="00140250">
        <w:rPr>
          <w:rFonts w:ascii="Arial" w:hAnsi="Arial" w:cs="Arial"/>
        </w:rPr>
        <w:t xml:space="preserve">who </w:t>
      </w:r>
      <w:r w:rsidR="00FC1C4B" w:rsidRPr="00140250">
        <w:rPr>
          <w:rFonts w:ascii="Arial" w:hAnsi="Arial" w:cs="Arial"/>
        </w:rPr>
        <w:t xml:space="preserve">were released from custody </w:t>
      </w:r>
      <w:r w:rsidRPr="00140250">
        <w:rPr>
          <w:rFonts w:ascii="Arial" w:hAnsi="Arial" w:cs="Arial"/>
        </w:rPr>
        <w:t xml:space="preserve">and taken </w:t>
      </w:r>
      <w:r w:rsidR="00FC1C4B" w:rsidRPr="00140250">
        <w:rPr>
          <w:rFonts w:ascii="Arial" w:hAnsi="Arial" w:cs="Arial"/>
        </w:rPr>
        <w:t>for a sexual assault examination or taken to domestic violence shelter. Most of these outcomes would not have occurred without access to the CNS. It is difficult to quantify the</w:t>
      </w:r>
      <w:r w:rsidR="0015141B" w:rsidRPr="00140250">
        <w:rPr>
          <w:rFonts w:ascii="Arial" w:hAnsi="Arial" w:cs="Arial"/>
        </w:rPr>
        <w:t xml:space="preserve"> value of these interventions</w:t>
      </w:r>
      <w:r w:rsidR="00FC1C4B" w:rsidRPr="00140250">
        <w:rPr>
          <w:rFonts w:ascii="Arial" w:hAnsi="Arial" w:cs="Arial"/>
        </w:rPr>
        <w:t>. What price does one put on reducing trauma and ensuring basic rights and dignity</w:t>
      </w:r>
      <w:r w:rsidR="0015141B" w:rsidRPr="00140250">
        <w:rPr>
          <w:rFonts w:ascii="Arial" w:hAnsi="Arial" w:cs="Arial"/>
        </w:rPr>
        <w:t>?</w:t>
      </w:r>
      <w:r w:rsidR="00FC1C4B" w:rsidRPr="00140250">
        <w:rPr>
          <w:rFonts w:ascii="Arial" w:hAnsi="Arial" w:cs="Arial"/>
        </w:rPr>
        <w:t xml:space="preserve">  </w:t>
      </w:r>
      <w:bookmarkEnd w:id="16"/>
    </w:p>
    <w:p w14:paraId="51CD28D5" w14:textId="77777777" w:rsidR="00CF53B1" w:rsidRPr="00140250" w:rsidRDefault="00CF53B1" w:rsidP="00FF4DDA">
      <w:pPr>
        <w:rPr>
          <w:rFonts w:ascii="Arial" w:hAnsi="Arial" w:cs="Arial"/>
          <w:b/>
          <w:bCs/>
        </w:rPr>
      </w:pPr>
    </w:p>
    <w:p w14:paraId="10D2F04D" w14:textId="77777777" w:rsidR="00FD6F2C" w:rsidRPr="00140250" w:rsidRDefault="00FD6F2C" w:rsidP="00FF4DDA">
      <w:pPr>
        <w:rPr>
          <w:rFonts w:ascii="Arial" w:hAnsi="Arial" w:cs="Arial"/>
          <w:b/>
          <w:bCs/>
        </w:rPr>
      </w:pPr>
    </w:p>
    <w:p w14:paraId="70C03672" w14:textId="77777777" w:rsidR="004456DF" w:rsidRPr="00140250" w:rsidRDefault="004456DF" w:rsidP="00FF4DDA">
      <w:pPr>
        <w:rPr>
          <w:rFonts w:ascii="Arial" w:hAnsi="Arial" w:cs="Arial"/>
          <w:b/>
        </w:rPr>
      </w:pPr>
      <w:r w:rsidRPr="00140250">
        <w:rPr>
          <w:rFonts w:ascii="Arial" w:hAnsi="Arial" w:cs="Arial"/>
          <w:b/>
        </w:rPr>
        <w:t xml:space="preserve">Welfare concerns </w:t>
      </w:r>
    </w:p>
    <w:p w14:paraId="18F59A25" w14:textId="77777777" w:rsidR="00FF4DDA" w:rsidRPr="00140250" w:rsidRDefault="00FF4DDA" w:rsidP="00FF4DDA">
      <w:pPr>
        <w:rPr>
          <w:rFonts w:ascii="Arial" w:hAnsi="Arial" w:cs="Arial"/>
        </w:rPr>
      </w:pPr>
    </w:p>
    <w:p w14:paraId="2127321E" w14:textId="338E65BB" w:rsidR="004456DF" w:rsidRPr="00140250" w:rsidRDefault="00D60FCC" w:rsidP="00FF4DDA">
      <w:pPr>
        <w:rPr>
          <w:rFonts w:ascii="Arial" w:hAnsi="Arial" w:cs="Arial"/>
        </w:rPr>
      </w:pPr>
      <w:r w:rsidRPr="00140250">
        <w:rPr>
          <w:rFonts w:ascii="Arial" w:hAnsi="Arial" w:cs="Arial"/>
        </w:rPr>
        <w:t>In the Northern Territory the 2012 coronial inquest in</w:t>
      </w:r>
      <w:r w:rsidR="00C502A6">
        <w:rPr>
          <w:rFonts w:ascii="Arial" w:hAnsi="Arial" w:cs="Arial"/>
        </w:rPr>
        <w:t>to</w:t>
      </w:r>
      <w:r w:rsidRPr="00140250">
        <w:rPr>
          <w:rFonts w:ascii="Arial" w:hAnsi="Arial" w:cs="Arial"/>
        </w:rPr>
        <w:t xml:space="preserve"> the death of </w:t>
      </w:r>
      <w:r w:rsidRPr="00140250">
        <w:rPr>
          <w:rFonts w:ascii="Arial" w:hAnsi="Arial" w:cs="Arial"/>
          <w:i/>
        </w:rPr>
        <w:t>Terrence John Briscoe</w:t>
      </w:r>
      <w:r w:rsidRPr="00140250">
        <w:rPr>
          <w:rStyle w:val="FootnoteReference"/>
          <w:rFonts w:ascii="Arial" w:hAnsi="Arial" w:cs="Arial"/>
          <w:i/>
        </w:rPr>
        <w:footnoteReference w:id="77"/>
      </w:r>
      <w:r w:rsidRPr="00140250">
        <w:rPr>
          <w:rFonts w:ascii="Arial" w:hAnsi="Arial" w:cs="Arial"/>
        </w:rPr>
        <w:t xml:space="preserve">was something of a watershed moment for the care and treatment of people in custody police stations. The </w:t>
      </w:r>
      <w:proofErr w:type="gramStart"/>
      <w:r w:rsidRPr="00140250">
        <w:rPr>
          <w:rFonts w:ascii="Arial" w:hAnsi="Arial" w:cs="Arial"/>
        </w:rPr>
        <w:t>Coroner</w:t>
      </w:r>
      <w:proofErr w:type="gramEnd"/>
      <w:r w:rsidRPr="00140250">
        <w:rPr>
          <w:rFonts w:ascii="Arial" w:hAnsi="Arial" w:cs="Arial"/>
        </w:rPr>
        <w:t xml:space="preserve"> found </w:t>
      </w:r>
      <w:r w:rsidR="0015141B" w:rsidRPr="00140250">
        <w:rPr>
          <w:rFonts w:ascii="Arial" w:hAnsi="Arial" w:cs="Arial"/>
        </w:rPr>
        <w:t xml:space="preserve">a </w:t>
      </w:r>
      <w:r w:rsidRPr="00140250">
        <w:rPr>
          <w:rFonts w:ascii="Arial" w:hAnsi="Arial" w:cs="Arial"/>
        </w:rPr>
        <w:t xml:space="preserve">systematic failure to adequately staff </w:t>
      </w:r>
      <w:r w:rsidR="0078118A" w:rsidRPr="00140250">
        <w:rPr>
          <w:rFonts w:ascii="Arial" w:hAnsi="Arial" w:cs="Arial"/>
        </w:rPr>
        <w:t xml:space="preserve">the Alice </w:t>
      </w:r>
      <w:r w:rsidR="0078118A" w:rsidRPr="00140250">
        <w:rPr>
          <w:rFonts w:ascii="Arial" w:hAnsi="Arial" w:cs="Arial"/>
        </w:rPr>
        <w:lastRenderedPageBreak/>
        <w:t xml:space="preserve">Springs </w:t>
      </w:r>
      <w:r w:rsidRPr="00140250">
        <w:rPr>
          <w:rFonts w:ascii="Arial" w:hAnsi="Arial" w:cs="Arial"/>
        </w:rPr>
        <w:t>watch hous</w:t>
      </w:r>
      <w:r w:rsidR="0078118A" w:rsidRPr="00140250">
        <w:rPr>
          <w:rFonts w:ascii="Arial" w:hAnsi="Arial" w:cs="Arial"/>
        </w:rPr>
        <w:t>e</w:t>
      </w:r>
      <w:r w:rsidRPr="00140250">
        <w:rPr>
          <w:rFonts w:ascii="Arial" w:hAnsi="Arial" w:cs="Arial"/>
        </w:rPr>
        <w:t xml:space="preserve">, </w:t>
      </w:r>
      <w:r w:rsidR="0078118A" w:rsidRPr="00140250">
        <w:rPr>
          <w:rFonts w:ascii="Arial" w:hAnsi="Arial" w:cs="Arial"/>
        </w:rPr>
        <w:t xml:space="preserve">a </w:t>
      </w:r>
      <w:r w:rsidRPr="00140250">
        <w:rPr>
          <w:rFonts w:ascii="Arial" w:hAnsi="Arial" w:cs="Arial"/>
        </w:rPr>
        <w:t xml:space="preserve">lack of training of staff, failure to audit staff practices, </w:t>
      </w:r>
      <w:r w:rsidR="00697E68" w:rsidRPr="00140250">
        <w:rPr>
          <w:rFonts w:ascii="Arial" w:hAnsi="Arial" w:cs="Arial"/>
        </w:rPr>
        <w:t xml:space="preserve">and implement appropriate safety policies. </w:t>
      </w:r>
      <w:proofErr w:type="gramStart"/>
      <w:r w:rsidR="00697E68" w:rsidRPr="00140250">
        <w:rPr>
          <w:rFonts w:ascii="Arial" w:hAnsi="Arial" w:cs="Arial"/>
        </w:rPr>
        <w:t>Despite being recommended by the RDIADIC</w:t>
      </w:r>
      <w:r w:rsidR="0078118A" w:rsidRPr="00140250">
        <w:rPr>
          <w:rFonts w:ascii="Arial" w:hAnsi="Arial" w:cs="Arial"/>
        </w:rPr>
        <w:t>,</w:t>
      </w:r>
      <w:r w:rsidR="00697E68" w:rsidRPr="00140250">
        <w:rPr>
          <w:rFonts w:ascii="Arial" w:hAnsi="Arial" w:cs="Arial"/>
        </w:rPr>
        <w:t xml:space="preserve"> there</w:t>
      </w:r>
      <w:proofErr w:type="gramEnd"/>
      <w:r w:rsidR="00697E68" w:rsidRPr="00140250">
        <w:rPr>
          <w:rFonts w:ascii="Arial" w:hAnsi="Arial" w:cs="Arial"/>
        </w:rPr>
        <w:t xml:space="preserve"> were no nurses employed in </w:t>
      </w:r>
      <w:r w:rsidR="0078118A" w:rsidRPr="00140250">
        <w:rPr>
          <w:rFonts w:ascii="Arial" w:hAnsi="Arial" w:cs="Arial"/>
        </w:rPr>
        <w:t xml:space="preserve">NT </w:t>
      </w:r>
      <w:r w:rsidR="00697E68" w:rsidRPr="00140250">
        <w:rPr>
          <w:rFonts w:ascii="Arial" w:hAnsi="Arial" w:cs="Arial"/>
        </w:rPr>
        <w:t xml:space="preserve">watch houses. The recommendation </w:t>
      </w:r>
      <w:r w:rsidR="0015141B" w:rsidRPr="00140250">
        <w:rPr>
          <w:rFonts w:ascii="Arial" w:hAnsi="Arial" w:cs="Arial"/>
        </w:rPr>
        <w:t>to do so</w:t>
      </w:r>
      <w:r w:rsidR="00697E68" w:rsidRPr="00140250">
        <w:rPr>
          <w:rFonts w:ascii="Arial" w:hAnsi="Arial" w:cs="Arial"/>
        </w:rPr>
        <w:t xml:space="preserve"> by the </w:t>
      </w:r>
      <w:proofErr w:type="gramStart"/>
      <w:r w:rsidR="00697E68" w:rsidRPr="00140250">
        <w:rPr>
          <w:rFonts w:ascii="Arial" w:hAnsi="Arial" w:cs="Arial"/>
        </w:rPr>
        <w:t>Coroner</w:t>
      </w:r>
      <w:proofErr w:type="gramEnd"/>
      <w:r w:rsidR="0015141B" w:rsidRPr="00140250">
        <w:rPr>
          <w:rFonts w:ascii="Arial" w:hAnsi="Arial" w:cs="Arial"/>
        </w:rPr>
        <w:t xml:space="preserve"> was adopted by </w:t>
      </w:r>
      <w:r w:rsidR="00095B6C">
        <w:rPr>
          <w:rFonts w:ascii="Arial" w:hAnsi="Arial" w:cs="Arial"/>
        </w:rPr>
        <w:t xml:space="preserve">the </w:t>
      </w:r>
      <w:r w:rsidR="0015141B" w:rsidRPr="00140250">
        <w:rPr>
          <w:rFonts w:ascii="Arial" w:hAnsi="Arial" w:cs="Arial"/>
        </w:rPr>
        <w:t>police</w:t>
      </w:r>
      <w:r w:rsidR="00C502A6">
        <w:rPr>
          <w:rFonts w:ascii="Arial" w:hAnsi="Arial" w:cs="Arial"/>
        </w:rPr>
        <w:t xml:space="preserve"> and</w:t>
      </w:r>
      <w:r w:rsidR="00697E68" w:rsidRPr="00140250">
        <w:rPr>
          <w:rFonts w:ascii="Arial" w:hAnsi="Arial" w:cs="Arial"/>
        </w:rPr>
        <w:t xml:space="preserve"> has </w:t>
      </w:r>
      <w:r w:rsidR="0015141B" w:rsidRPr="00140250">
        <w:rPr>
          <w:rFonts w:ascii="Arial" w:hAnsi="Arial" w:cs="Arial"/>
        </w:rPr>
        <w:t>un</w:t>
      </w:r>
      <w:r w:rsidR="00697E68" w:rsidRPr="00140250">
        <w:rPr>
          <w:rFonts w:ascii="Arial" w:hAnsi="Arial" w:cs="Arial"/>
        </w:rPr>
        <w:t>doubt</w:t>
      </w:r>
      <w:r w:rsidR="0015141B" w:rsidRPr="00140250">
        <w:rPr>
          <w:rFonts w:ascii="Arial" w:hAnsi="Arial" w:cs="Arial"/>
        </w:rPr>
        <w:t>edly</w:t>
      </w:r>
      <w:r w:rsidR="00697E68" w:rsidRPr="00140250">
        <w:rPr>
          <w:rFonts w:ascii="Arial" w:hAnsi="Arial" w:cs="Arial"/>
        </w:rPr>
        <w:t xml:space="preserve"> </w:t>
      </w:r>
      <w:r w:rsidR="0015141B" w:rsidRPr="00140250">
        <w:rPr>
          <w:rFonts w:ascii="Arial" w:hAnsi="Arial" w:cs="Arial"/>
        </w:rPr>
        <w:t>reduced</w:t>
      </w:r>
      <w:r w:rsidR="00697E68" w:rsidRPr="00140250">
        <w:rPr>
          <w:rFonts w:ascii="Arial" w:hAnsi="Arial" w:cs="Arial"/>
        </w:rPr>
        <w:t xml:space="preserve"> the number of Aboriginal deaths in police custody. However,</w:t>
      </w:r>
      <w:r w:rsidR="0078118A" w:rsidRPr="00140250">
        <w:rPr>
          <w:rFonts w:ascii="Arial" w:hAnsi="Arial" w:cs="Arial"/>
        </w:rPr>
        <w:t xml:space="preserve"> watch house nurses</w:t>
      </w:r>
      <w:r w:rsidR="00697E68" w:rsidRPr="00140250">
        <w:rPr>
          <w:rFonts w:ascii="Arial" w:hAnsi="Arial" w:cs="Arial"/>
        </w:rPr>
        <w:t xml:space="preserve"> are no</w:t>
      </w:r>
      <w:r w:rsidR="00C94101" w:rsidRPr="00140250">
        <w:rPr>
          <w:rFonts w:ascii="Arial" w:hAnsi="Arial" w:cs="Arial"/>
        </w:rPr>
        <w:t>t</w:t>
      </w:r>
      <w:r w:rsidR="00697E68" w:rsidRPr="00140250">
        <w:rPr>
          <w:rFonts w:ascii="Arial" w:hAnsi="Arial" w:cs="Arial"/>
        </w:rPr>
        <w:t xml:space="preserve"> stationed </w:t>
      </w:r>
      <w:r w:rsidR="00095B6C">
        <w:rPr>
          <w:rFonts w:ascii="Arial" w:hAnsi="Arial" w:cs="Arial"/>
        </w:rPr>
        <w:t>in</w:t>
      </w:r>
      <w:r w:rsidR="00697E68" w:rsidRPr="00140250">
        <w:rPr>
          <w:rFonts w:ascii="Arial" w:hAnsi="Arial" w:cs="Arial"/>
        </w:rPr>
        <w:t xml:space="preserve"> all watch houses</w:t>
      </w:r>
      <w:r w:rsidR="0078118A" w:rsidRPr="00140250">
        <w:rPr>
          <w:rFonts w:ascii="Arial" w:hAnsi="Arial" w:cs="Arial"/>
        </w:rPr>
        <w:t xml:space="preserve">. </w:t>
      </w:r>
      <w:r w:rsidR="00697E68" w:rsidRPr="00140250">
        <w:rPr>
          <w:rFonts w:ascii="Arial" w:hAnsi="Arial" w:cs="Arial"/>
        </w:rPr>
        <w:t>Tennant Creek for example doesn’t have one</w:t>
      </w:r>
      <w:r w:rsidR="00095B6C">
        <w:rPr>
          <w:rFonts w:ascii="Arial" w:hAnsi="Arial" w:cs="Arial"/>
        </w:rPr>
        <w:t>, nor are they available 24 hours a day</w:t>
      </w:r>
      <w:r w:rsidR="00C502A6">
        <w:rPr>
          <w:rFonts w:ascii="Arial" w:hAnsi="Arial" w:cs="Arial"/>
        </w:rPr>
        <w:t>, w</w:t>
      </w:r>
      <w:r w:rsidR="00095B6C">
        <w:rPr>
          <w:rFonts w:ascii="Arial" w:hAnsi="Arial" w:cs="Arial"/>
        </w:rPr>
        <w:t>ith the exceptions of the weekend, when they are</w:t>
      </w:r>
      <w:r w:rsidR="00C502A6">
        <w:rPr>
          <w:rFonts w:ascii="Arial" w:hAnsi="Arial" w:cs="Arial"/>
        </w:rPr>
        <w:t xml:space="preserve">. </w:t>
      </w:r>
    </w:p>
    <w:p w14:paraId="77BA76F8" w14:textId="77777777" w:rsidR="004456DF" w:rsidRPr="00140250" w:rsidRDefault="004456DF" w:rsidP="00FF4DDA">
      <w:pPr>
        <w:rPr>
          <w:rFonts w:ascii="Arial" w:hAnsi="Arial" w:cs="Arial"/>
        </w:rPr>
      </w:pPr>
    </w:p>
    <w:p w14:paraId="477312A3" w14:textId="309BFC0D" w:rsidR="004456DF" w:rsidRPr="00140250" w:rsidRDefault="004456DF" w:rsidP="00FF4DDA">
      <w:pPr>
        <w:rPr>
          <w:rFonts w:ascii="Arial" w:hAnsi="Arial" w:cs="Arial"/>
        </w:rPr>
      </w:pPr>
      <w:r w:rsidRPr="00140250">
        <w:rPr>
          <w:rFonts w:ascii="Arial" w:hAnsi="Arial" w:cs="Arial"/>
        </w:rPr>
        <w:t xml:space="preserve">According to </w:t>
      </w:r>
      <w:r w:rsidR="00095B6C">
        <w:rPr>
          <w:rFonts w:ascii="Arial" w:hAnsi="Arial" w:cs="Arial"/>
        </w:rPr>
        <w:t>an</w:t>
      </w:r>
      <w:r w:rsidR="009B0797" w:rsidRPr="00140250">
        <w:rPr>
          <w:rFonts w:ascii="Arial" w:hAnsi="Arial" w:cs="Arial"/>
        </w:rPr>
        <w:t xml:space="preserve"> Aboriginal Medical Services Alliance NT (“AMSANT”) re</w:t>
      </w:r>
      <w:r w:rsidRPr="00140250">
        <w:rPr>
          <w:rFonts w:ascii="Arial" w:hAnsi="Arial" w:cs="Arial"/>
        </w:rPr>
        <w:t xml:space="preserve">port </w:t>
      </w:r>
      <w:r w:rsidR="00735E0B" w:rsidRPr="00140250">
        <w:rPr>
          <w:rFonts w:ascii="Arial" w:hAnsi="Arial" w:cs="Arial"/>
        </w:rPr>
        <w:t>f</w:t>
      </w:r>
      <w:r w:rsidRPr="00140250">
        <w:rPr>
          <w:rFonts w:ascii="Arial" w:hAnsi="Arial" w:cs="Arial"/>
        </w:rPr>
        <w:t xml:space="preserve">rom 2016 </w:t>
      </w:r>
      <w:r w:rsidRPr="00140250">
        <w:rPr>
          <w:rStyle w:val="FootnoteReference"/>
          <w:rFonts w:ascii="Arial" w:hAnsi="Arial" w:cs="Arial"/>
        </w:rPr>
        <w:footnoteReference w:id="78"/>
      </w:r>
      <w:r w:rsidRPr="00140250">
        <w:rPr>
          <w:rFonts w:ascii="Arial" w:hAnsi="Arial" w:cs="Arial"/>
        </w:rPr>
        <w:t xml:space="preserve"> “rates of chronic diseases in Aboriginal people in the NT are at alarming levels”. For </w:t>
      </w:r>
      <w:r w:rsidR="005121A0" w:rsidRPr="00140250">
        <w:rPr>
          <w:rFonts w:ascii="Arial" w:hAnsi="Arial" w:cs="Arial"/>
        </w:rPr>
        <w:t>example,</w:t>
      </w:r>
      <w:r w:rsidRPr="00140250">
        <w:rPr>
          <w:rFonts w:ascii="Arial" w:hAnsi="Arial" w:cs="Arial"/>
        </w:rPr>
        <w:t xml:space="preserve"> “rates of treated </w:t>
      </w:r>
      <w:r w:rsidR="00095B6C">
        <w:rPr>
          <w:rFonts w:ascii="Arial" w:hAnsi="Arial" w:cs="Arial"/>
        </w:rPr>
        <w:t>end-stage</w:t>
      </w:r>
      <w:r w:rsidRPr="00140250">
        <w:rPr>
          <w:rFonts w:ascii="Arial" w:hAnsi="Arial" w:cs="Arial"/>
        </w:rPr>
        <w:t xml:space="preserve"> kidney disease </w:t>
      </w:r>
      <w:r w:rsidR="00697E68" w:rsidRPr="00140250">
        <w:rPr>
          <w:rFonts w:ascii="Arial" w:hAnsi="Arial" w:cs="Arial"/>
        </w:rPr>
        <w:t xml:space="preserve">(are) </w:t>
      </w:r>
      <w:r w:rsidRPr="00140250">
        <w:rPr>
          <w:rFonts w:ascii="Arial" w:hAnsi="Arial" w:cs="Arial"/>
        </w:rPr>
        <w:t>twenty times higher than in non-Aboriginal people in the NT</w:t>
      </w:r>
      <w:r w:rsidR="00C94101" w:rsidRPr="00140250">
        <w:rPr>
          <w:rFonts w:ascii="Arial" w:hAnsi="Arial" w:cs="Arial"/>
        </w:rPr>
        <w:t>…d</w:t>
      </w:r>
      <w:r w:rsidRPr="00140250">
        <w:rPr>
          <w:rFonts w:ascii="Arial" w:hAnsi="Arial" w:cs="Arial"/>
        </w:rPr>
        <w:t xml:space="preserve">eath rates from diabetes and renal disease </w:t>
      </w:r>
      <w:r w:rsidR="00697E68" w:rsidRPr="00140250">
        <w:rPr>
          <w:rFonts w:ascii="Arial" w:hAnsi="Arial" w:cs="Arial"/>
        </w:rPr>
        <w:t xml:space="preserve">(are) </w:t>
      </w:r>
      <w:r w:rsidRPr="00140250">
        <w:rPr>
          <w:rFonts w:ascii="Arial" w:hAnsi="Arial" w:cs="Arial"/>
        </w:rPr>
        <w:t>six and nine times higher respectively than in non-Aboriginal people. The mortality rate ratio (death rate in Aboriginal people vs non-Aboriginal people) is highest in the NT compared to any other jurisdiction with a rate ratio of 2.4 (against</w:t>
      </w:r>
      <w:r w:rsidR="00697E68" w:rsidRPr="00140250">
        <w:rPr>
          <w:rFonts w:ascii="Arial" w:hAnsi="Arial" w:cs="Arial"/>
        </w:rPr>
        <w:t xml:space="preserve"> a national rate ratio of 1.7)</w:t>
      </w:r>
      <w:r w:rsidR="00C94101" w:rsidRPr="00140250">
        <w:rPr>
          <w:rFonts w:ascii="Arial" w:hAnsi="Arial" w:cs="Arial"/>
        </w:rPr>
        <w:t>”</w:t>
      </w:r>
      <w:r w:rsidR="00697E68" w:rsidRPr="00140250">
        <w:rPr>
          <w:rStyle w:val="FootnoteReference"/>
          <w:rFonts w:ascii="Arial" w:hAnsi="Arial" w:cs="Arial"/>
        </w:rPr>
        <w:footnoteReference w:id="79"/>
      </w:r>
      <w:r w:rsidR="00697E68" w:rsidRPr="00140250">
        <w:rPr>
          <w:rFonts w:ascii="Arial" w:hAnsi="Arial" w:cs="Arial"/>
        </w:rPr>
        <w:t xml:space="preserve">. </w:t>
      </w:r>
      <w:r w:rsidR="00095B6C">
        <w:rPr>
          <w:rFonts w:ascii="Arial" w:hAnsi="Arial" w:cs="Arial"/>
        </w:rPr>
        <w:t xml:space="preserve">Put simply, many of those in custody in the NT are very unwell, and many experience difficulties communicating with police. </w:t>
      </w:r>
      <w:proofErr w:type="gramStart"/>
      <w:r w:rsidR="00095B6C">
        <w:rPr>
          <w:rFonts w:ascii="Arial" w:hAnsi="Arial" w:cs="Arial"/>
        </w:rPr>
        <w:t>So</w:t>
      </w:r>
      <w:proofErr w:type="gramEnd"/>
      <w:r w:rsidR="00095B6C">
        <w:rPr>
          <w:rFonts w:ascii="Arial" w:hAnsi="Arial" w:cs="Arial"/>
        </w:rPr>
        <w:t xml:space="preserve"> it is perhaps unsurprising that </w:t>
      </w:r>
      <w:r w:rsidR="00C94101" w:rsidRPr="00140250">
        <w:rPr>
          <w:rFonts w:ascii="Arial" w:hAnsi="Arial" w:cs="Arial"/>
        </w:rPr>
        <w:t xml:space="preserve">CNS staff frequently speak to Aboriginal people in police custody who disclose medical issues that were </w:t>
      </w:r>
      <w:r w:rsidR="008922D9" w:rsidRPr="00140250">
        <w:rPr>
          <w:rFonts w:ascii="Arial" w:hAnsi="Arial" w:cs="Arial"/>
        </w:rPr>
        <w:t>unknown to the police or</w:t>
      </w:r>
      <w:r w:rsidR="00C94101" w:rsidRPr="00140250">
        <w:rPr>
          <w:rFonts w:ascii="Arial" w:hAnsi="Arial" w:cs="Arial"/>
        </w:rPr>
        <w:t xml:space="preserve"> </w:t>
      </w:r>
      <w:r w:rsidR="008922D9" w:rsidRPr="00140250">
        <w:rPr>
          <w:rFonts w:ascii="Arial" w:hAnsi="Arial" w:cs="Arial"/>
        </w:rPr>
        <w:t>the nurs</w:t>
      </w:r>
      <w:r w:rsidR="00095B6C">
        <w:rPr>
          <w:rFonts w:ascii="Arial" w:hAnsi="Arial" w:cs="Arial"/>
        </w:rPr>
        <w:t>e and</w:t>
      </w:r>
      <w:r w:rsidR="00C94101" w:rsidRPr="00140250">
        <w:rPr>
          <w:rFonts w:ascii="Arial" w:hAnsi="Arial" w:cs="Arial"/>
        </w:rPr>
        <w:t xml:space="preserve"> are often involved in arranging medication for clients in custody, or basic provisions like tampons, underwear, </w:t>
      </w:r>
      <w:r w:rsidR="005121A0" w:rsidRPr="00140250">
        <w:rPr>
          <w:rFonts w:ascii="Arial" w:hAnsi="Arial" w:cs="Arial"/>
        </w:rPr>
        <w:t>food,</w:t>
      </w:r>
      <w:r w:rsidR="00C94101" w:rsidRPr="00140250">
        <w:rPr>
          <w:rFonts w:ascii="Arial" w:hAnsi="Arial" w:cs="Arial"/>
        </w:rPr>
        <w:t xml:space="preserve"> and water. </w:t>
      </w:r>
    </w:p>
    <w:p w14:paraId="45A1EC04" w14:textId="6FE8343C" w:rsidR="00CA6199" w:rsidRPr="00140250" w:rsidRDefault="00CA6199" w:rsidP="00FF4DDA">
      <w:pPr>
        <w:rPr>
          <w:rFonts w:ascii="Arial" w:hAnsi="Arial" w:cs="Arial"/>
        </w:rPr>
      </w:pPr>
    </w:p>
    <w:p w14:paraId="4C285A8B" w14:textId="77777777" w:rsidR="00CA6199" w:rsidRPr="00140250" w:rsidRDefault="00CA6199" w:rsidP="00CA6199">
      <w:pPr>
        <w:rPr>
          <w:rFonts w:ascii="Arial" w:hAnsi="Arial" w:cs="Arial"/>
          <w:b/>
          <w:bCs/>
        </w:rPr>
      </w:pPr>
      <w:r w:rsidRPr="00140250">
        <w:rPr>
          <w:rFonts w:ascii="Arial" w:hAnsi="Arial" w:cs="Arial"/>
          <w:b/>
          <w:bCs/>
        </w:rPr>
        <w:t>Assisting families</w:t>
      </w:r>
    </w:p>
    <w:p w14:paraId="43266D73" w14:textId="77777777" w:rsidR="00CA6199" w:rsidRPr="00140250" w:rsidRDefault="00CA6199" w:rsidP="00CA6199">
      <w:pPr>
        <w:rPr>
          <w:rFonts w:ascii="Arial" w:hAnsi="Arial" w:cs="Arial"/>
        </w:rPr>
      </w:pPr>
    </w:p>
    <w:p w14:paraId="34419E48" w14:textId="377A8465" w:rsidR="00CA6199" w:rsidRPr="00140250" w:rsidRDefault="00CA6199" w:rsidP="00CA6199">
      <w:pPr>
        <w:rPr>
          <w:rFonts w:ascii="Arial" w:hAnsi="Arial" w:cs="Arial"/>
        </w:rPr>
      </w:pPr>
      <w:r w:rsidRPr="00140250">
        <w:rPr>
          <w:rFonts w:ascii="Arial" w:hAnsi="Arial" w:cs="Arial"/>
        </w:rPr>
        <w:t>As referred to earlier, there is a legislative restriction on the information police can provide about persons in custody. The information is limited to confirming or denying if the person is in police custody</w:t>
      </w:r>
      <w:r w:rsidR="00E10336">
        <w:rPr>
          <w:rFonts w:ascii="Arial" w:hAnsi="Arial" w:cs="Arial"/>
        </w:rPr>
        <w:t xml:space="preserve"> and</w:t>
      </w:r>
      <w:r w:rsidRPr="00140250">
        <w:rPr>
          <w:rFonts w:ascii="Arial" w:hAnsi="Arial" w:cs="Arial"/>
        </w:rPr>
        <w:t xml:space="preserve"> can only be disclosed on the request of parents, children, </w:t>
      </w:r>
      <w:proofErr w:type="gramStart"/>
      <w:r w:rsidRPr="00140250">
        <w:rPr>
          <w:rFonts w:ascii="Arial" w:hAnsi="Arial" w:cs="Arial"/>
        </w:rPr>
        <w:t>partner</w:t>
      </w:r>
      <w:proofErr w:type="gramEnd"/>
      <w:r w:rsidRPr="00140250">
        <w:rPr>
          <w:rFonts w:ascii="Arial" w:hAnsi="Arial" w:cs="Arial"/>
        </w:rPr>
        <w:t xml:space="preserve"> or lawyer for the person in custody and with the person’s consent.  In our experience, this restriction has been broadly interpreted by many police officers</w:t>
      </w:r>
      <w:r w:rsidR="00020432">
        <w:rPr>
          <w:rFonts w:ascii="Arial" w:hAnsi="Arial" w:cs="Arial"/>
        </w:rPr>
        <w:t>,</w:t>
      </w:r>
      <w:r w:rsidRPr="00140250">
        <w:rPr>
          <w:rFonts w:ascii="Arial" w:hAnsi="Arial" w:cs="Arial"/>
        </w:rPr>
        <w:t xml:space="preserve"> leaving family and friends without information about their loved</w:t>
      </w:r>
      <w:r w:rsidR="00020432">
        <w:rPr>
          <w:rFonts w:ascii="Arial" w:hAnsi="Arial" w:cs="Arial"/>
        </w:rPr>
        <w:t xml:space="preserve"> one. </w:t>
      </w:r>
      <w:r w:rsidRPr="00140250">
        <w:rPr>
          <w:rFonts w:ascii="Arial" w:hAnsi="Arial" w:cs="Arial"/>
        </w:rPr>
        <w:t xml:space="preserve">The recent trial of </w:t>
      </w:r>
      <w:r w:rsidR="00020432">
        <w:rPr>
          <w:rFonts w:ascii="Arial" w:hAnsi="Arial" w:cs="Arial"/>
        </w:rPr>
        <w:t xml:space="preserve">NT police officer </w:t>
      </w:r>
      <w:r w:rsidRPr="00140250">
        <w:rPr>
          <w:rFonts w:ascii="Arial" w:hAnsi="Arial" w:cs="Arial"/>
        </w:rPr>
        <w:t xml:space="preserve">Zachary Rolfe for the murder of </w:t>
      </w:r>
      <w:proofErr w:type="spellStart"/>
      <w:r w:rsidRPr="00140250">
        <w:rPr>
          <w:rFonts w:ascii="Arial" w:hAnsi="Arial" w:cs="Arial"/>
        </w:rPr>
        <w:t>Kumunjayi</w:t>
      </w:r>
      <w:proofErr w:type="spellEnd"/>
      <w:r w:rsidRPr="00140250">
        <w:rPr>
          <w:rFonts w:ascii="Arial" w:hAnsi="Arial" w:cs="Arial"/>
        </w:rPr>
        <w:t xml:space="preserve"> Walker highlighted the painful legacy of the many deaths in custody for Aboriginal people, and the</w:t>
      </w:r>
      <w:r w:rsidR="00020432">
        <w:rPr>
          <w:rFonts w:ascii="Arial" w:hAnsi="Arial" w:cs="Arial"/>
        </w:rPr>
        <w:t xml:space="preserve"> continuing</w:t>
      </w:r>
      <w:r w:rsidRPr="00140250">
        <w:rPr>
          <w:rFonts w:ascii="Arial" w:hAnsi="Arial" w:cs="Arial"/>
        </w:rPr>
        <w:t xml:space="preserve"> suspicion and mistrust </w:t>
      </w:r>
      <w:r w:rsidR="00020432">
        <w:rPr>
          <w:rFonts w:ascii="Arial" w:hAnsi="Arial" w:cs="Arial"/>
        </w:rPr>
        <w:t xml:space="preserve">they have </w:t>
      </w:r>
      <w:r w:rsidR="00E10336">
        <w:rPr>
          <w:rFonts w:ascii="Arial" w:hAnsi="Arial" w:cs="Arial"/>
        </w:rPr>
        <w:t>of</w:t>
      </w:r>
      <w:r w:rsidRPr="00140250">
        <w:rPr>
          <w:rFonts w:ascii="Arial" w:hAnsi="Arial" w:cs="Arial"/>
        </w:rPr>
        <w:t xml:space="preserve"> police. The restriction on the release of information </w:t>
      </w:r>
      <w:r w:rsidR="00E10336">
        <w:rPr>
          <w:rFonts w:ascii="Arial" w:hAnsi="Arial" w:cs="Arial"/>
        </w:rPr>
        <w:t xml:space="preserve">about people in police custody </w:t>
      </w:r>
      <w:r w:rsidRPr="00140250">
        <w:rPr>
          <w:rFonts w:ascii="Arial" w:hAnsi="Arial" w:cs="Arial"/>
        </w:rPr>
        <w:t>only fuels that mistrust and suspicion. In recognition of this, the CN</w:t>
      </w:r>
      <w:r w:rsidR="00E10336">
        <w:rPr>
          <w:rFonts w:ascii="Arial" w:hAnsi="Arial" w:cs="Arial"/>
        </w:rPr>
        <w:t>S</w:t>
      </w:r>
      <w:r w:rsidRPr="00140250">
        <w:rPr>
          <w:rFonts w:ascii="Arial" w:hAnsi="Arial" w:cs="Arial"/>
        </w:rPr>
        <w:t xml:space="preserve"> created a telephone service for family or friends to call if they are worried about someone in custody. With the client’s consent, this information has been gratefully received by many family members who were extremely worried about the </w:t>
      </w:r>
      <w:r w:rsidR="00E10336">
        <w:rPr>
          <w:rFonts w:ascii="Arial" w:hAnsi="Arial" w:cs="Arial"/>
        </w:rPr>
        <w:t>well-being</w:t>
      </w:r>
      <w:r w:rsidRPr="00140250">
        <w:rPr>
          <w:rFonts w:ascii="Arial" w:hAnsi="Arial" w:cs="Arial"/>
        </w:rPr>
        <w:t xml:space="preserve"> of </w:t>
      </w:r>
      <w:r w:rsidR="00E10336">
        <w:rPr>
          <w:rFonts w:ascii="Arial" w:hAnsi="Arial" w:cs="Arial"/>
        </w:rPr>
        <w:t>the</w:t>
      </w:r>
      <w:r w:rsidRPr="00140250">
        <w:rPr>
          <w:rFonts w:ascii="Arial" w:hAnsi="Arial" w:cs="Arial"/>
        </w:rPr>
        <w:t xml:space="preserve"> person in custody. </w:t>
      </w:r>
      <w:r w:rsidR="00E10336">
        <w:rPr>
          <w:rFonts w:ascii="Arial" w:hAnsi="Arial" w:cs="Arial"/>
        </w:rPr>
        <w:t>The service</w:t>
      </w:r>
      <w:r w:rsidRPr="00140250">
        <w:rPr>
          <w:rFonts w:ascii="Arial" w:hAnsi="Arial" w:cs="Arial"/>
        </w:rPr>
        <w:t xml:space="preserve"> ha</w:t>
      </w:r>
      <w:r w:rsidR="00E10336">
        <w:rPr>
          <w:rFonts w:ascii="Arial" w:hAnsi="Arial" w:cs="Arial"/>
        </w:rPr>
        <w:t>s</w:t>
      </w:r>
      <w:r w:rsidRPr="00140250">
        <w:rPr>
          <w:rFonts w:ascii="Arial" w:hAnsi="Arial" w:cs="Arial"/>
        </w:rPr>
        <w:t xml:space="preserve"> frequently advocated for our clients to speak to family members, particularly when they are agitated or upset and in need additional support. By providing family members with information about the criminal justice process and regular updates about the person in custody, the CNS is working towards reducing some of that mistrust. </w:t>
      </w:r>
    </w:p>
    <w:p w14:paraId="3A28D962" w14:textId="77777777" w:rsidR="00CA6199" w:rsidRPr="00140250" w:rsidRDefault="00CA6199" w:rsidP="00FF4DDA">
      <w:pPr>
        <w:rPr>
          <w:rFonts w:ascii="Arial" w:hAnsi="Arial" w:cs="Arial"/>
        </w:rPr>
      </w:pPr>
    </w:p>
    <w:p w14:paraId="56DCD1A0" w14:textId="7062D006" w:rsidR="00CA6199" w:rsidRPr="00140250" w:rsidRDefault="00CA6199" w:rsidP="00FF4DDA">
      <w:pPr>
        <w:rPr>
          <w:rFonts w:ascii="Arial" w:hAnsi="Arial" w:cs="Arial"/>
        </w:rPr>
      </w:pPr>
    </w:p>
    <w:p w14:paraId="5C668DE7" w14:textId="77777777" w:rsidR="00CA6199" w:rsidRPr="00140250" w:rsidRDefault="00CA6199" w:rsidP="00CA6199">
      <w:pPr>
        <w:rPr>
          <w:rFonts w:ascii="Arial" w:hAnsi="Arial" w:cs="Arial"/>
          <w:b/>
          <w:bCs/>
        </w:rPr>
      </w:pPr>
      <w:r w:rsidRPr="00140250">
        <w:rPr>
          <w:rFonts w:ascii="Arial" w:hAnsi="Arial" w:cs="Arial"/>
          <w:b/>
          <w:bCs/>
        </w:rPr>
        <w:t xml:space="preserve">Bail </w:t>
      </w:r>
    </w:p>
    <w:p w14:paraId="655ED10D" w14:textId="77777777" w:rsidR="00CA6199" w:rsidRPr="00140250" w:rsidRDefault="00CA6199" w:rsidP="00CA6199">
      <w:pPr>
        <w:rPr>
          <w:rFonts w:ascii="Arial" w:hAnsi="Arial" w:cs="Arial"/>
          <w:b/>
          <w:bCs/>
        </w:rPr>
      </w:pPr>
    </w:p>
    <w:p w14:paraId="0186BC6A" w14:textId="28A655DE" w:rsidR="00CA6199" w:rsidRPr="00140250" w:rsidRDefault="00CA6199" w:rsidP="00CA6199">
      <w:pPr>
        <w:rPr>
          <w:rFonts w:ascii="Arial" w:hAnsi="Arial" w:cs="Arial"/>
        </w:rPr>
      </w:pPr>
      <w:bookmarkStart w:id="17" w:name="_Hlk107330231"/>
      <w:r w:rsidRPr="00140250">
        <w:rPr>
          <w:rFonts w:ascii="Arial" w:hAnsi="Arial" w:cs="Arial"/>
        </w:rPr>
        <w:t xml:space="preserve">The service is not funded to provide 24 hour a day access to a lawyer. Of the 6 full time staff, three are lawyers and 3 are Aboriginal client service officers. However, earlier this year, </w:t>
      </w:r>
      <w:proofErr w:type="gramStart"/>
      <w:r w:rsidRPr="00140250">
        <w:rPr>
          <w:rFonts w:ascii="Arial" w:hAnsi="Arial" w:cs="Arial"/>
        </w:rPr>
        <w:t>as a result of</w:t>
      </w:r>
      <w:proofErr w:type="gramEnd"/>
      <w:r w:rsidRPr="00140250">
        <w:rPr>
          <w:rFonts w:ascii="Arial" w:hAnsi="Arial" w:cs="Arial"/>
        </w:rPr>
        <w:t xml:space="preserve"> the COVID 19 lockdown in remote communities, the Local Court ceased sitting </w:t>
      </w:r>
      <w:r w:rsidR="00020432">
        <w:rPr>
          <w:rFonts w:ascii="Arial" w:hAnsi="Arial" w:cs="Arial"/>
        </w:rPr>
        <w:t>in those</w:t>
      </w:r>
      <w:r w:rsidRPr="00140250">
        <w:rPr>
          <w:rFonts w:ascii="Arial" w:hAnsi="Arial" w:cs="Arial"/>
        </w:rPr>
        <w:t xml:space="preserve"> communities. In a welcome effort to reduce the prejudice to remote community </w:t>
      </w:r>
      <w:r w:rsidRPr="00140250">
        <w:rPr>
          <w:rFonts w:ascii="Arial" w:hAnsi="Arial" w:cs="Arial"/>
        </w:rPr>
        <w:lastRenderedPageBreak/>
        <w:t>residents arrested and facing removal from their community to a Darwin or Alice Springs prison, an agreement was reached between the Chief Local Court Judge, NT police and NAAJA. Through CNS, NAAJA was able to provide access for Aboriginal people</w:t>
      </w:r>
      <w:r w:rsidR="00020432">
        <w:rPr>
          <w:rFonts w:ascii="Arial" w:hAnsi="Arial" w:cs="Arial"/>
        </w:rPr>
        <w:t xml:space="preserve"> where refused bail</w:t>
      </w:r>
      <w:r w:rsidRPr="00140250">
        <w:rPr>
          <w:rFonts w:ascii="Arial" w:hAnsi="Arial" w:cs="Arial"/>
        </w:rPr>
        <w:t xml:space="preserve"> in remote communities, with a lawyer to assist them with their bail review. The bail review proceeded via a three-way telephone</w:t>
      </w:r>
      <w:r w:rsidR="00E10336">
        <w:rPr>
          <w:rFonts w:ascii="Arial" w:hAnsi="Arial" w:cs="Arial"/>
        </w:rPr>
        <w:t xml:space="preserve"> call</w:t>
      </w:r>
      <w:r w:rsidRPr="00140250">
        <w:rPr>
          <w:rFonts w:ascii="Arial" w:hAnsi="Arial" w:cs="Arial"/>
        </w:rPr>
        <w:t xml:space="preserve">, during which time the lawyer made submissions on behalf of the applicant. It was well-received by the Local Court Judges and the police. </w:t>
      </w:r>
      <w:r w:rsidR="00E10336">
        <w:rPr>
          <w:rFonts w:ascii="Arial" w:hAnsi="Arial" w:cs="Arial"/>
        </w:rPr>
        <w:t>T</w:t>
      </w:r>
      <w:r w:rsidRPr="00140250">
        <w:rPr>
          <w:rFonts w:ascii="Arial" w:hAnsi="Arial" w:cs="Arial"/>
        </w:rPr>
        <w:t>he extent to which this approach might reduce incarceration is difficult to assess</w:t>
      </w:r>
      <w:r w:rsidR="00E10336">
        <w:rPr>
          <w:rFonts w:ascii="Arial" w:hAnsi="Arial" w:cs="Arial"/>
        </w:rPr>
        <w:t>. I</w:t>
      </w:r>
      <w:r w:rsidRPr="00140250">
        <w:rPr>
          <w:rFonts w:ascii="Arial" w:hAnsi="Arial" w:cs="Arial"/>
        </w:rPr>
        <w:t xml:space="preserve">t </w:t>
      </w:r>
      <w:r w:rsidR="00E10336">
        <w:rPr>
          <w:rFonts w:ascii="Arial" w:hAnsi="Arial" w:cs="Arial"/>
        </w:rPr>
        <w:t xml:space="preserve">does however </w:t>
      </w:r>
      <w:r w:rsidRPr="00140250">
        <w:rPr>
          <w:rFonts w:ascii="Arial" w:hAnsi="Arial" w:cs="Arial"/>
        </w:rPr>
        <w:t xml:space="preserve">ensure procedural fairness for the applicant and allows for all the relevant matters under section 24 of the </w:t>
      </w:r>
      <w:r w:rsidRPr="00140250">
        <w:rPr>
          <w:rFonts w:ascii="Arial" w:hAnsi="Arial" w:cs="Arial"/>
          <w:i/>
          <w:iCs/>
        </w:rPr>
        <w:t>Bail Act</w:t>
      </w:r>
      <w:r w:rsidRPr="00140250">
        <w:rPr>
          <w:rFonts w:ascii="Arial" w:hAnsi="Arial" w:cs="Arial"/>
        </w:rPr>
        <w:t xml:space="preserve"> (NT) to be considered by the on-call Judge.</w:t>
      </w:r>
      <w:r w:rsidR="00E10336">
        <w:rPr>
          <w:rFonts w:ascii="Arial" w:hAnsi="Arial" w:cs="Arial"/>
        </w:rPr>
        <w:t xml:space="preserve"> It gives a</w:t>
      </w:r>
      <w:r w:rsidRPr="00140250">
        <w:rPr>
          <w:rFonts w:ascii="Arial" w:hAnsi="Arial" w:cs="Arial"/>
        </w:rPr>
        <w:t xml:space="preserve"> glimpse of what an appropriately funded CNS could achieve</w:t>
      </w:r>
      <w:r w:rsidR="00E10336">
        <w:rPr>
          <w:rFonts w:ascii="Arial" w:hAnsi="Arial" w:cs="Arial"/>
        </w:rPr>
        <w:t xml:space="preserve"> and is very likely to reduce unnecessary incarceration of Aboriginal people</w:t>
      </w:r>
      <w:r w:rsidR="00020432">
        <w:rPr>
          <w:rFonts w:ascii="Arial" w:hAnsi="Arial" w:cs="Arial"/>
        </w:rPr>
        <w:t>, particularly youths</w:t>
      </w:r>
      <w:r w:rsidR="00E10336">
        <w:rPr>
          <w:rFonts w:ascii="Arial" w:hAnsi="Arial" w:cs="Arial"/>
        </w:rPr>
        <w:t xml:space="preserve">. </w:t>
      </w:r>
      <w:bookmarkEnd w:id="17"/>
    </w:p>
    <w:p w14:paraId="249ECB83" w14:textId="25E7934E" w:rsidR="00697E68" w:rsidRPr="00140250" w:rsidRDefault="00697E68" w:rsidP="00FF4DDA">
      <w:pPr>
        <w:rPr>
          <w:rFonts w:ascii="Arial" w:hAnsi="Arial" w:cs="Arial"/>
        </w:rPr>
      </w:pPr>
    </w:p>
    <w:p w14:paraId="2BC5D470" w14:textId="5F739CEF" w:rsidR="001B32E0" w:rsidRPr="00140250" w:rsidRDefault="001B32E0" w:rsidP="00FF4DDA">
      <w:pPr>
        <w:rPr>
          <w:rFonts w:ascii="Arial" w:hAnsi="Arial" w:cs="Arial"/>
        </w:rPr>
      </w:pPr>
    </w:p>
    <w:p w14:paraId="71586B44" w14:textId="413D7D8D" w:rsidR="001B32E0" w:rsidRPr="00140250" w:rsidRDefault="001B32E0" w:rsidP="00FF4DDA">
      <w:pPr>
        <w:rPr>
          <w:rFonts w:ascii="Arial" w:hAnsi="Arial" w:cs="Arial"/>
          <w:b/>
          <w:bCs/>
        </w:rPr>
      </w:pPr>
      <w:r w:rsidRPr="00140250">
        <w:rPr>
          <w:rFonts w:ascii="Arial" w:hAnsi="Arial" w:cs="Arial"/>
          <w:b/>
          <w:bCs/>
        </w:rPr>
        <w:t>Reducing delays at the Local Court</w:t>
      </w:r>
    </w:p>
    <w:p w14:paraId="6F06736B" w14:textId="6586D0F8" w:rsidR="001B32E0" w:rsidRPr="00140250" w:rsidRDefault="001B32E0" w:rsidP="00FF4DDA">
      <w:pPr>
        <w:rPr>
          <w:rFonts w:ascii="Arial" w:hAnsi="Arial" w:cs="Arial"/>
          <w:b/>
          <w:bCs/>
        </w:rPr>
      </w:pPr>
    </w:p>
    <w:p w14:paraId="000BB91A" w14:textId="097EAD56" w:rsidR="001B32E0" w:rsidRPr="00140250" w:rsidRDefault="009B0B8C" w:rsidP="00FF4DDA">
      <w:pPr>
        <w:rPr>
          <w:rFonts w:ascii="Arial" w:hAnsi="Arial" w:cs="Arial"/>
        </w:rPr>
      </w:pPr>
      <w:r>
        <w:rPr>
          <w:rFonts w:ascii="Arial" w:hAnsi="Arial" w:cs="Arial"/>
        </w:rPr>
        <w:t xml:space="preserve">Prior to the CNS, the morning and early afternoon work of the Local Courts was significantly limited by the blockages caused by limited </w:t>
      </w:r>
      <w:proofErr w:type="gramStart"/>
      <w:r>
        <w:rPr>
          <w:rFonts w:ascii="Arial" w:hAnsi="Arial" w:cs="Arial"/>
        </w:rPr>
        <w:t xml:space="preserve">cells </w:t>
      </w:r>
      <w:r w:rsidR="00020432">
        <w:rPr>
          <w:rFonts w:ascii="Arial" w:hAnsi="Arial" w:cs="Arial"/>
        </w:rPr>
        <w:t xml:space="preserve"> in</w:t>
      </w:r>
      <w:proofErr w:type="gramEnd"/>
      <w:r w:rsidR="00020432">
        <w:rPr>
          <w:rFonts w:ascii="Arial" w:hAnsi="Arial" w:cs="Arial"/>
        </w:rPr>
        <w:t xml:space="preserve"> which </w:t>
      </w:r>
      <w:r>
        <w:rPr>
          <w:rFonts w:ascii="Arial" w:hAnsi="Arial" w:cs="Arial"/>
        </w:rPr>
        <w:t xml:space="preserve">to get instructions and delays in police paperwork being handed over to defence lawyers. The CNS alleviates this significantly by providing timely and relevant information to the defence lawyers about the charges, bail proposal, contact details for family members and any likely communication difficulties of the prospective clients, including if an interpreter is required. </w:t>
      </w:r>
    </w:p>
    <w:p w14:paraId="4238D80E" w14:textId="19252233" w:rsidR="00C7675D" w:rsidRPr="00140250" w:rsidRDefault="00C7675D" w:rsidP="00FF4DDA">
      <w:pPr>
        <w:rPr>
          <w:rFonts w:ascii="Arial" w:hAnsi="Arial" w:cs="Arial"/>
        </w:rPr>
      </w:pPr>
    </w:p>
    <w:p w14:paraId="409DB8D2" w14:textId="6D9568B6" w:rsidR="00C7675D" w:rsidRPr="00140250" w:rsidRDefault="00C7675D" w:rsidP="00FF4DDA">
      <w:pPr>
        <w:rPr>
          <w:rFonts w:ascii="Arial" w:hAnsi="Arial" w:cs="Arial"/>
          <w:b/>
          <w:bCs/>
        </w:rPr>
      </w:pPr>
      <w:r w:rsidRPr="00140250">
        <w:rPr>
          <w:rFonts w:ascii="Arial" w:hAnsi="Arial" w:cs="Arial"/>
          <w:b/>
          <w:bCs/>
        </w:rPr>
        <w:t>An increasing demand</w:t>
      </w:r>
    </w:p>
    <w:p w14:paraId="17DEF958" w14:textId="77777777" w:rsidR="00FD6F2C" w:rsidRPr="00140250" w:rsidRDefault="00FD6F2C" w:rsidP="00FF4DDA">
      <w:pPr>
        <w:rPr>
          <w:rFonts w:ascii="Arial" w:hAnsi="Arial" w:cs="Arial"/>
          <w:b/>
          <w:bCs/>
        </w:rPr>
      </w:pPr>
    </w:p>
    <w:p w14:paraId="02D09729" w14:textId="449F0953" w:rsidR="00C7675D" w:rsidRPr="00140250" w:rsidRDefault="00C6659D" w:rsidP="00FF4DDA">
      <w:pPr>
        <w:rPr>
          <w:rFonts w:ascii="Arial" w:hAnsi="Arial" w:cs="Arial"/>
        </w:rPr>
      </w:pPr>
      <w:r w:rsidRPr="00140250">
        <w:rPr>
          <w:rFonts w:ascii="Arial" w:hAnsi="Arial" w:cs="Arial"/>
        </w:rPr>
        <w:t>Annexure 1 shows th</w:t>
      </w:r>
      <w:r w:rsidR="001F02AA" w:rsidRPr="00140250">
        <w:rPr>
          <w:rFonts w:ascii="Arial" w:hAnsi="Arial" w:cs="Arial"/>
        </w:rPr>
        <w:t>at the</w:t>
      </w:r>
      <w:r w:rsidRPr="00140250">
        <w:rPr>
          <w:rFonts w:ascii="Arial" w:hAnsi="Arial" w:cs="Arial"/>
        </w:rPr>
        <w:t xml:space="preserve"> number of </w:t>
      </w:r>
      <w:r w:rsidR="00CC580E" w:rsidRPr="00140250">
        <w:rPr>
          <w:rFonts w:ascii="Arial" w:hAnsi="Arial" w:cs="Arial"/>
        </w:rPr>
        <w:t>total</w:t>
      </w:r>
      <w:r w:rsidR="009C7579">
        <w:rPr>
          <w:rFonts w:ascii="Arial" w:hAnsi="Arial" w:cs="Arial"/>
        </w:rPr>
        <w:t xml:space="preserve"> annual</w:t>
      </w:r>
      <w:r w:rsidR="00CC580E" w:rsidRPr="00140250">
        <w:rPr>
          <w:rFonts w:ascii="Arial" w:hAnsi="Arial" w:cs="Arial"/>
        </w:rPr>
        <w:t xml:space="preserve"> </w:t>
      </w:r>
      <w:r w:rsidRPr="00140250">
        <w:rPr>
          <w:rFonts w:ascii="Arial" w:hAnsi="Arial" w:cs="Arial"/>
        </w:rPr>
        <w:t xml:space="preserve">notifications has </w:t>
      </w:r>
      <w:r w:rsidR="009C7579">
        <w:rPr>
          <w:rFonts w:ascii="Arial" w:hAnsi="Arial" w:cs="Arial"/>
        </w:rPr>
        <w:t xml:space="preserve">only </w:t>
      </w:r>
      <w:r w:rsidRPr="00140250">
        <w:rPr>
          <w:rFonts w:ascii="Arial" w:hAnsi="Arial" w:cs="Arial"/>
        </w:rPr>
        <w:t>increased by</w:t>
      </w:r>
      <w:r w:rsidR="00CC580E" w:rsidRPr="00140250">
        <w:rPr>
          <w:rFonts w:ascii="Arial" w:hAnsi="Arial" w:cs="Arial"/>
        </w:rPr>
        <w:t xml:space="preserve"> </w:t>
      </w:r>
      <w:r w:rsidR="008922D9" w:rsidRPr="00140250">
        <w:rPr>
          <w:rFonts w:ascii="Arial" w:hAnsi="Arial" w:cs="Arial"/>
        </w:rPr>
        <w:t>a modest amount</w:t>
      </w:r>
      <w:r w:rsidR="009C7579">
        <w:rPr>
          <w:rFonts w:ascii="Arial" w:hAnsi="Arial" w:cs="Arial"/>
        </w:rPr>
        <w:t>,</w:t>
      </w:r>
      <w:r w:rsidR="00CC580E" w:rsidRPr="00140250">
        <w:rPr>
          <w:rFonts w:ascii="Arial" w:hAnsi="Arial" w:cs="Arial"/>
        </w:rPr>
        <w:t xml:space="preserve"> </w:t>
      </w:r>
      <w:r w:rsidR="008922D9" w:rsidRPr="00140250">
        <w:rPr>
          <w:rFonts w:ascii="Arial" w:hAnsi="Arial" w:cs="Arial"/>
        </w:rPr>
        <w:t xml:space="preserve">since the </w:t>
      </w:r>
      <w:r w:rsidR="008E0F76" w:rsidRPr="00140250">
        <w:rPr>
          <w:rFonts w:ascii="Arial" w:hAnsi="Arial" w:cs="Arial"/>
        </w:rPr>
        <w:t>service</w:t>
      </w:r>
      <w:r w:rsidR="008922D9" w:rsidRPr="00140250">
        <w:rPr>
          <w:rFonts w:ascii="Arial" w:hAnsi="Arial" w:cs="Arial"/>
        </w:rPr>
        <w:t xml:space="preserve"> commenced</w:t>
      </w:r>
      <w:r w:rsidR="00CC580E" w:rsidRPr="00140250">
        <w:rPr>
          <w:rFonts w:ascii="Arial" w:hAnsi="Arial" w:cs="Arial"/>
        </w:rPr>
        <w:t>.</w:t>
      </w:r>
      <w:r w:rsidR="001F02AA" w:rsidRPr="00140250">
        <w:rPr>
          <w:rFonts w:ascii="Arial" w:hAnsi="Arial" w:cs="Arial"/>
        </w:rPr>
        <w:t xml:space="preserve"> </w:t>
      </w:r>
      <w:r w:rsidR="009C7579">
        <w:rPr>
          <w:rFonts w:ascii="Arial" w:hAnsi="Arial" w:cs="Arial"/>
        </w:rPr>
        <w:t xml:space="preserve">But look a little </w:t>
      </w:r>
      <w:r w:rsidR="004E15EF">
        <w:rPr>
          <w:rFonts w:ascii="Arial" w:hAnsi="Arial" w:cs="Arial"/>
        </w:rPr>
        <w:t>closer</w:t>
      </w:r>
      <w:r w:rsidR="009C7579">
        <w:rPr>
          <w:rFonts w:ascii="Arial" w:hAnsi="Arial" w:cs="Arial"/>
        </w:rPr>
        <w:t xml:space="preserve"> and you see</w:t>
      </w:r>
      <w:r w:rsidR="00CC580E" w:rsidRPr="00140250">
        <w:rPr>
          <w:rFonts w:ascii="Arial" w:hAnsi="Arial" w:cs="Arial"/>
        </w:rPr>
        <w:t xml:space="preserve"> big increases </w:t>
      </w:r>
      <w:r w:rsidR="004E15EF">
        <w:rPr>
          <w:rFonts w:ascii="Arial" w:hAnsi="Arial" w:cs="Arial"/>
        </w:rPr>
        <w:t xml:space="preserve">in </w:t>
      </w:r>
      <w:r w:rsidR="00CC580E" w:rsidRPr="00140250">
        <w:rPr>
          <w:rFonts w:ascii="Arial" w:hAnsi="Arial" w:cs="Arial"/>
        </w:rPr>
        <w:t xml:space="preserve">the number of </w:t>
      </w:r>
      <w:r w:rsidR="008E0F76" w:rsidRPr="00140250">
        <w:rPr>
          <w:rFonts w:ascii="Arial" w:hAnsi="Arial" w:cs="Arial"/>
        </w:rPr>
        <w:t>vulnerable people coming into police custody</w:t>
      </w:r>
      <w:r w:rsidR="001F02AA" w:rsidRPr="00140250">
        <w:rPr>
          <w:rFonts w:ascii="Arial" w:hAnsi="Arial" w:cs="Arial"/>
        </w:rPr>
        <w:t xml:space="preserve">. </w:t>
      </w:r>
      <w:r w:rsidR="009B0797" w:rsidRPr="00140250">
        <w:rPr>
          <w:rFonts w:ascii="Arial" w:hAnsi="Arial" w:cs="Arial"/>
        </w:rPr>
        <w:t>Over the past three years th</w:t>
      </w:r>
      <w:r w:rsidR="00CC580E" w:rsidRPr="00140250">
        <w:rPr>
          <w:rFonts w:ascii="Arial" w:hAnsi="Arial" w:cs="Arial"/>
        </w:rPr>
        <w:t>e</w:t>
      </w:r>
      <w:r w:rsidR="009B0797" w:rsidRPr="00140250">
        <w:rPr>
          <w:rFonts w:ascii="Arial" w:hAnsi="Arial" w:cs="Arial"/>
        </w:rPr>
        <w:t xml:space="preserve"> number of people</w:t>
      </w:r>
      <w:r w:rsidR="00CC580E" w:rsidRPr="00140250">
        <w:rPr>
          <w:rFonts w:ascii="Arial" w:hAnsi="Arial" w:cs="Arial"/>
        </w:rPr>
        <w:t xml:space="preserve"> considering self-harm has increased by 50%. The most </w:t>
      </w:r>
      <w:r w:rsidR="008E0F76" w:rsidRPr="00140250">
        <w:rPr>
          <w:rFonts w:ascii="Arial" w:hAnsi="Arial" w:cs="Arial"/>
        </w:rPr>
        <w:t>dramatic</w:t>
      </w:r>
      <w:r w:rsidR="00CC580E" w:rsidRPr="00140250">
        <w:rPr>
          <w:rFonts w:ascii="Arial" w:hAnsi="Arial" w:cs="Arial"/>
        </w:rPr>
        <w:t xml:space="preserve"> increase is the number of notifications for youths, which for the first two years </w:t>
      </w:r>
      <w:r w:rsidR="008E0F76" w:rsidRPr="00140250">
        <w:rPr>
          <w:rFonts w:ascii="Arial" w:hAnsi="Arial" w:cs="Arial"/>
        </w:rPr>
        <w:t>remained largely unchanged</w:t>
      </w:r>
      <w:r w:rsidR="00CC580E" w:rsidRPr="00140250">
        <w:rPr>
          <w:rFonts w:ascii="Arial" w:hAnsi="Arial" w:cs="Arial"/>
        </w:rPr>
        <w:t xml:space="preserve">. </w:t>
      </w:r>
      <w:r w:rsidR="004E15EF">
        <w:rPr>
          <w:rFonts w:ascii="Arial" w:hAnsi="Arial" w:cs="Arial"/>
        </w:rPr>
        <w:t>S</w:t>
      </w:r>
      <w:r w:rsidR="008E0F76" w:rsidRPr="00140250">
        <w:rPr>
          <w:rFonts w:ascii="Arial" w:hAnsi="Arial" w:cs="Arial"/>
        </w:rPr>
        <w:t xml:space="preserve">ince the NT government introduced its changes to the </w:t>
      </w:r>
      <w:r w:rsidR="008E0F76" w:rsidRPr="004E15EF">
        <w:rPr>
          <w:rFonts w:ascii="Arial" w:hAnsi="Arial" w:cs="Arial"/>
          <w:i/>
          <w:iCs/>
        </w:rPr>
        <w:t xml:space="preserve">Bail </w:t>
      </w:r>
      <w:r w:rsidR="004E15EF" w:rsidRPr="004E15EF">
        <w:rPr>
          <w:rFonts w:ascii="Arial" w:hAnsi="Arial" w:cs="Arial"/>
          <w:i/>
          <w:iCs/>
        </w:rPr>
        <w:t>Act</w:t>
      </w:r>
      <w:r w:rsidR="004E15EF">
        <w:rPr>
          <w:rFonts w:ascii="Arial" w:hAnsi="Arial" w:cs="Arial"/>
        </w:rPr>
        <w:t xml:space="preserve"> (NT) </w:t>
      </w:r>
      <w:r w:rsidR="008E0F76" w:rsidRPr="00140250">
        <w:rPr>
          <w:rFonts w:ascii="Arial" w:hAnsi="Arial" w:cs="Arial"/>
        </w:rPr>
        <w:t xml:space="preserve">and </w:t>
      </w:r>
      <w:r w:rsidR="008E0F76" w:rsidRPr="004E15EF">
        <w:rPr>
          <w:rFonts w:ascii="Arial" w:hAnsi="Arial" w:cs="Arial"/>
          <w:i/>
          <w:iCs/>
        </w:rPr>
        <w:t>Youth Justice Act</w:t>
      </w:r>
      <w:r w:rsidR="009C7579">
        <w:rPr>
          <w:rFonts w:ascii="Arial" w:hAnsi="Arial" w:cs="Arial"/>
        </w:rPr>
        <w:t xml:space="preserve"> </w:t>
      </w:r>
      <w:r w:rsidR="004E15EF">
        <w:rPr>
          <w:rFonts w:ascii="Arial" w:hAnsi="Arial" w:cs="Arial"/>
        </w:rPr>
        <w:t xml:space="preserve">(NT) </w:t>
      </w:r>
      <w:r w:rsidR="009C7579">
        <w:rPr>
          <w:rFonts w:ascii="Arial" w:hAnsi="Arial" w:cs="Arial"/>
        </w:rPr>
        <w:t>in May 2021</w:t>
      </w:r>
      <w:r w:rsidR="008E0F76" w:rsidRPr="00140250">
        <w:rPr>
          <w:rFonts w:ascii="Arial" w:hAnsi="Arial" w:cs="Arial"/>
        </w:rPr>
        <w:t>,</w:t>
      </w:r>
      <w:r w:rsidR="00CC580E" w:rsidRPr="00140250">
        <w:rPr>
          <w:rFonts w:ascii="Arial" w:hAnsi="Arial" w:cs="Arial"/>
        </w:rPr>
        <w:t xml:space="preserve"> </w:t>
      </w:r>
      <w:r w:rsidR="008E0F76" w:rsidRPr="00140250">
        <w:rPr>
          <w:rFonts w:ascii="Arial" w:hAnsi="Arial" w:cs="Arial"/>
        </w:rPr>
        <w:t>that number</w:t>
      </w:r>
      <w:r w:rsidR="00CC580E" w:rsidRPr="00140250">
        <w:rPr>
          <w:rFonts w:ascii="Arial" w:hAnsi="Arial" w:cs="Arial"/>
        </w:rPr>
        <w:t xml:space="preserve"> has almost doubled</w:t>
      </w:r>
      <w:r w:rsidR="004E15EF">
        <w:rPr>
          <w:rFonts w:ascii="Arial" w:hAnsi="Arial" w:cs="Arial"/>
        </w:rPr>
        <w:t xml:space="preserve"> (see Annexure 1)</w:t>
      </w:r>
      <w:r w:rsidR="00CC580E" w:rsidRPr="00140250">
        <w:rPr>
          <w:rFonts w:ascii="Arial" w:hAnsi="Arial" w:cs="Arial"/>
        </w:rPr>
        <w:t xml:space="preserve">. But perhaps the most </w:t>
      </w:r>
      <w:r w:rsidR="00A42366" w:rsidRPr="00140250">
        <w:rPr>
          <w:rFonts w:ascii="Arial" w:hAnsi="Arial" w:cs="Arial"/>
        </w:rPr>
        <w:t xml:space="preserve">concerning increase </w:t>
      </w:r>
      <w:r w:rsidR="00CC580E" w:rsidRPr="00140250">
        <w:rPr>
          <w:rFonts w:ascii="Arial" w:hAnsi="Arial" w:cs="Arial"/>
        </w:rPr>
        <w:t>is the number of notifications for youths under the age of 13</w:t>
      </w:r>
      <w:r w:rsidR="00773460">
        <w:rPr>
          <w:rFonts w:ascii="Arial" w:hAnsi="Arial" w:cs="Arial"/>
        </w:rPr>
        <w:t xml:space="preserve"> which </w:t>
      </w:r>
      <w:r w:rsidR="00A42366" w:rsidRPr="00140250">
        <w:rPr>
          <w:rFonts w:ascii="Arial" w:hAnsi="Arial" w:cs="Arial"/>
        </w:rPr>
        <w:t>has tripled</w:t>
      </w:r>
      <w:r w:rsidR="00EF1E09" w:rsidRPr="00140250">
        <w:rPr>
          <w:rFonts w:ascii="Arial" w:hAnsi="Arial" w:cs="Arial"/>
        </w:rPr>
        <w:t xml:space="preserve"> </w:t>
      </w:r>
      <w:r w:rsidR="004E15EF">
        <w:rPr>
          <w:rFonts w:ascii="Arial" w:hAnsi="Arial" w:cs="Arial"/>
        </w:rPr>
        <w:t xml:space="preserve">since the amendments were introduced </w:t>
      </w:r>
      <w:r w:rsidR="00EF1E09" w:rsidRPr="00140250">
        <w:rPr>
          <w:rFonts w:ascii="Arial" w:hAnsi="Arial" w:cs="Arial"/>
        </w:rPr>
        <w:t>and is clear evidence of</w:t>
      </w:r>
      <w:r w:rsidR="001F02AA" w:rsidRPr="00140250">
        <w:rPr>
          <w:rFonts w:ascii="Arial" w:hAnsi="Arial" w:cs="Arial"/>
        </w:rPr>
        <w:t xml:space="preserve"> the damage </w:t>
      </w:r>
      <w:r w:rsidR="004E15EF">
        <w:rPr>
          <w:rFonts w:ascii="Arial" w:hAnsi="Arial" w:cs="Arial"/>
        </w:rPr>
        <w:t>the</w:t>
      </w:r>
      <w:r w:rsidR="00773460">
        <w:rPr>
          <w:rFonts w:ascii="Arial" w:hAnsi="Arial" w:cs="Arial"/>
        </w:rPr>
        <w:t xml:space="preserve"> amendments </w:t>
      </w:r>
      <w:r w:rsidR="004E15EF">
        <w:rPr>
          <w:rFonts w:ascii="Arial" w:hAnsi="Arial" w:cs="Arial"/>
        </w:rPr>
        <w:t>have wrought</w:t>
      </w:r>
      <w:r w:rsidR="00EF1E09" w:rsidRPr="00140250">
        <w:rPr>
          <w:rFonts w:ascii="Arial" w:hAnsi="Arial" w:cs="Arial"/>
        </w:rPr>
        <w:t xml:space="preserve">. </w:t>
      </w:r>
    </w:p>
    <w:p w14:paraId="4211F22D" w14:textId="77777777" w:rsidR="00225208" w:rsidRPr="00140250" w:rsidRDefault="00225208" w:rsidP="00FF4DDA">
      <w:pPr>
        <w:rPr>
          <w:rFonts w:ascii="Arial" w:hAnsi="Arial" w:cs="Arial"/>
        </w:rPr>
      </w:pPr>
    </w:p>
    <w:p w14:paraId="6235559A" w14:textId="5FFDF538" w:rsidR="00225208" w:rsidRPr="00140250" w:rsidRDefault="00225208" w:rsidP="00FF4DDA">
      <w:pPr>
        <w:rPr>
          <w:rFonts w:ascii="Arial" w:hAnsi="Arial" w:cs="Arial"/>
          <w:b/>
          <w:bCs/>
        </w:rPr>
      </w:pPr>
      <w:r w:rsidRPr="00140250">
        <w:rPr>
          <w:rFonts w:ascii="Arial" w:hAnsi="Arial" w:cs="Arial"/>
          <w:b/>
          <w:bCs/>
        </w:rPr>
        <w:t>The future</w:t>
      </w:r>
    </w:p>
    <w:p w14:paraId="39F20293" w14:textId="77777777" w:rsidR="004A0AF0" w:rsidRPr="00140250" w:rsidRDefault="004A0AF0" w:rsidP="00FF4DDA">
      <w:pPr>
        <w:rPr>
          <w:rFonts w:ascii="Arial" w:hAnsi="Arial" w:cs="Arial"/>
          <w:b/>
          <w:bCs/>
        </w:rPr>
      </w:pPr>
    </w:p>
    <w:p w14:paraId="4655DC9E" w14:textId="0465740E" w:rsidR="00EE69E5" w:rsidRPr="00140250" w:rsidRDefault="00A718F1" w:rsidP="00981841">
      <w:pPr>
        <w:rPr>
          <w:rFonts w:ascii="Arial" w:hAnsi="Arial" w:cs="Arial"/>
        </w:rPr>
      </w:pPr>
      <w:r w:rsidRPr="00140250">
        <w:rPr>
          <w:rFonts w:ascii="Arial" w:hAnsi="Arial" w:cs="Arial"/>
        </w:rPr>
        <w:t>Apart from recen</w:t>
      </w:r>
      <w:r w:rsidR="009C7579">
        <w:rPr>
          <w:rFonts w:ascii="Arial" w:hAnsi="Arial" w:cs="Arial"/>
        </w:rPr>
        <w:t>t</w:t>
      </w:r>
      <w:r w:rsidRPr="00140250">
        <w:rPr>
          <w:rFonts w:ascii="Arial" w:hAnsi="Arial" w:cs="Arial"/>
        </w:rPr>
        <w:t xml:space="preserve"> coverage as a funding shortfall loomed, the CNS has not attracted media or political interest in the NT. </w:t>
      </w:r>
      <w:r w:rsidR="00EE69E5" w:rsidRPr="00140250">
        <w:rPr>
          <w:rFonts w:ascii="Arial" w:hAnsi="Arial" w:cs="Arial"/>
        </w:rPr>
        <w:t>In</w:t>
      </w:r>
      <w:r w:rsidRPr="00140250">
        <w:rPr>
          <w:rFonts w:ascii="Arial" w:hAnsi="Arial" w:cs="Arial"/>
        </w:rPr>
        <w:t xml:space="preserve"> a media environment focused on government failure and controversy,</w:t>
      </w:r>
      <w:r w:rsidR="00EE69E5" w:rsidRPr="00140250">
        <w:rPr>
          <w:rFonts w:ascii="Arial" w:hAnsi="Arial" w:cs="Arial"/>
        </w:rPr>
        <w:t xml:space="preserve"> it </w:t>
      </w:r>
      <w:r w:rsidR="009C7579">
        <w:rPr>
          <w:rFonts w:ascii="Arial" w:hAnsi="Arial" w:cs="Arial"/>
        </w:rPr>
        <w:t>is hardly surprising</w:t>
      </w:r>
      <w:r w:rsidR="00EE69E5" w:rsidRPr="00140250">
        <w:rPr>
          <w:rFonts w:ascii="Arial" w:hAnsi="Arial" w:cs="Arial"/>
        </w:rPr>
        <w:t xml:space="preserve"> that</w:t>
      </w:r>
      <w:r w:rsidRPr="00140250">
        <w:rPr>
          <w:rFonts w:ascii="Arial" w:hAnsi="Arial" w:cs="Arial"/>
        </w:rPr>
        <w:t xml:space="preserve"> the success of the servic</w:t>
      </w:r>
      <w:r w:rsidR="00554FCB">
        <w:rPr>
          <w:rFonts w:ascii="Arial" w:hAnsi="Arial" w:cs="Arial"/>
        </w:rPr>
        <w:t>e</w:t>
      </w:r>
      <w:r w:rsidRPr="00140250">
        <w:rPr>
          <w:rFonts w:ascii="Arial" w:hAnsi="Arial" w:cs="Arial"/>
        </w:rPr>
        <w:t xml:space="preserve"> providing support for Aboriginal people in police custody largely goes unnoticed.</w:t>
      </w:r>
      <w:r w:rsidR="004E15EF">
        <w:rPr>
          <w:rFonts w:ascii="Arial" w:hAnsi="Arial" w:cs="Arial"/>
        </w:rPr>
        <w:t xml:space="preserve"> Yet</w:t>
      </w:r>
      <w:r w:rsidR="00EE69E5" w:rsidRPr="00140250">
        <w:rPr>
          <w:rFonts w:ascii="Arial" w:hAnsi="Arial" w:cs="Arial"/>
        </w:rPr>
        <w:t xml:space="preserve"> this</w:t>
      </w:r>
      <w:r w:rsidR="00C7675D" w:rsidRPr="00140250">
        <w:rPr>
          <w:rFonts w:ascii="Arial" w:hAnsi="Arial" w:cs="Arial"/>
        </w:rPr>
        <w:t xml:space="preserve"> might be to the detriment of service and those it seeks to assist. </w:t>
      </w:r>
      <w:bookmarkStart w:id="18" w:name="_Hlk107330012"/>
      <w:r w:rsidR="00C7675D" w:rsidRPr="00140250">
        <w:rPr>
          <w:rFonts w:ascii="Arial" w:hAnsi="Arial" w:cs="Arial"/>
        </w:rPr>
        <w:t xml:space="preserve">The funding agreement </w:t>
      </w:r>
      <w:r w:rsidR="00A42366" w:rsidRPr="00140250">
        <w:rPr>
          <w:rFonts w:ascii="Arial" w:hAnsi="Arial" w:cs="Arial"/>
        </w:rPr>
        <w:t>between NAAJA and</w:t>
      </w:r>
      <w:r w:rsidR="00C7675D" w:rsidRPr="00140250">
        <w:rPr>
          <w:rFonts w:ascii="Arial" w:hAnsi="Arial" w:cs="Arial"/>
        </w:rPr>
        <w:t xml:space="preserve"> the Commonwealth was due to expire on 30 June 2022. Despite numerous meetings with various NT </w:t>
      </w:r>
      <w:r w:rsidR="00554FCB">
        <w:rPr>
          <w:rFonts w:ascii="Arial" w:hAnsi="Arial" w:cs="Arial"/>
        </w:rPr>
        <w:t>g</w:t>
      </w:r>
      <w:r w:rsidR="00C7675D" w:rsidRPr="00140250">
        <w:rPr>
          <w:rFonts w:ascii="Arial" w:hAnsi="Arial" w:cs="Arial"/>
        </w:rPr>
        <w:t xml:space="preserve">overnment ministers and senior departmental figures, </w:t>
      </w:r>
      <w:r w:rsidR="00A42366" w:rsidRPr="00140250">
        <w:rPr>
          <w:rFonts w:ascii="Arial" w:hAnsi="Arial" w:cs="Arial"/>
        </w:rPr>
        <w:t xml:space="preserve">and </w:t>
      </w:r>
      <w:r w:rsidR="00C7675D" w:rsidRPr="00140250">
        <w:rPr>
          <w:rFonts w:ascii="Arial" w:hAnsi="Arial" w:cs="Arial"/>
        </w:rPr>
        <w:t xml:space="preserve">the clear recommendation by the Royal Commission </w:t>
      </w:r>
      <w:r w:rsidR="004E15EF">
        <w:rPr>
          <w:rFonts w:ascii="Arial" w:hAnsi="Arial" w:cs="Arial"/>
        </w:rPr>
        <w:t>into Youth Detention and Child Protection in the NT</w:t>
      </w:r>
      <w:r w:rsidR="00A42366" w:rsidRPr="00140250">
        <w:rPr>
          <w:rFonts w:ascii="Arial" w:hAnsi="Arial" w:cs="Arial"/>
        </w:rPr>
        <w:t xml:space="preserve"> </w:t>
      </w:r>
      <w:r w:rsidR="004E15EF">
        <w:rPr>
          <w:rFonts w:ascii="Arial" w:hAnsi="Arial" w:cs="Arial"/>
        </w:rPr>
        <w:t xml:space="preserve">for </w:t>
      </w:r>
      <w:r w:rsidR="00A42366" w:rsidRPr="00140250">
        <w:rPr>
          <w:rFonts w:ascii="Arial" w:hAnsi="Arial" w:cs="Arial"/>
        </w:rPr>
        <w:t>the NT government to fund the service,</w:t>
      </w:r>
      <w:r w:rsidR="004E15EF">
        <w:rPr>
          <w:rFonts w:ascii="Arial" w:hAnsi="Arial" w:cs="Arial"/>
        </w:rPr>
        <w:t xml:space="preserve"> they chose not to</w:t>
      </w:r>
      <w:r w:rsidR="00A42366" w:rsidRPr="00140250">
        <w:rPr>
          <w:rFonts w:ascii="Arial" w:hAnsi="Arial" w:cs="Arial"/>
        </w:rPr>
        <w:t>.</w:t>
      </w:r>
      <w:r w:rsidR="00EE69E5" w:rsidRPr="00140250">
        <w:rPr>
          <w:rFonts w:ascii="Arial" w:hAnsi="Arial" w:cs="Arial"/>
        </w:rPr>
        <w:t xml:space="preserve"> </w:t>
      </w:r>
      <w:r w:rsidR="00554FCB">
        <w:rPr>
          <w:rFonts w:ascii="Arial" w:hAnsi="Arial" w:cs="Arial"/>
        </w:rPr>
        <w:t xml:space="preserve">It seems they </w:t>
      </w:r>
      <w:r w:rsidR="00773460">
        <w:rPr>
          <w:rFonts w:ascii="Arial" w:hAnsi="Arial" w:cs="Arial"/>
        </w:rPr>
        <w:t>we</w:t>
      </w:r>
      <w:r w:rsidR="00554FCB">
        <w:rPr>
          <w:rFonts w:ascii="Arial" w:hAnsi="Arial" w:cs="Arial"/>
        </w:rPr>
        <w:t>re</w:t>
      </w:r>
      <w:r w:rsidR="00EE69E5" w:rsidRPr="00140250">
        <w:rPr>
          <w:rFonts w:ascii="Arial" w:hAnsi="Arial" w:cs="Arial"/>
        </w:rPr>
        <w:t xml:space="preserve"> more concerned with </w:t>
      </w:r>
      <w:r w:rsidR="004E15EF">
        <w:rPr>
          <w:rFonts w:ascii="Arial" w:hAnsi="Arial" w:cs="Arial"/>
        </w:rPr>
        <w:t>spending</w:t>
      </w:r>
      <w:r w:rsidR="00EE69E5" w:rsidRPr="00140250">
        <w:rPr>
          <w:rFonts w:ascii="Arial" w:hAnsi="Arial" w:cs="Arial"/>
        </w:rPr>
        <w:t xml:space="preserve"> money </w:t>
      </w:r>
      <w:r w:rsidR="004E15EF">
        <w:rPr>
          <w:rFonts w:ascii="Arial" w:hAnsi="Arial" w:cs="Arial"/>
        </w:rPr>
        <w:t>on</w:t>
      </w:r>
      <w:r w:rsidR="00EE69E5" w:rsidRPr="00140250">
        <w:rPr>
          <w:rFonts w:ascii="Arial" w:hAnsi="Arial" w:cs="Arial"/>
        </w:rPr>
        <w:t xml:space="preserve"> measures designed to make it appear tough on crime in response to endless media coverage of </w:t>
      </w:r>
      <w:r w:rsidR="00554FCB">
        <w:rPr>
          <w:rFonts w:ascii="Arial" w:hAnsi="Arial" w:cs="Arial"/>
        </w:rPr>
        <w:t xml:space="preserve">property </w:t>
      </w:r>
      <w:r w:rsidR="00E76FA3" w:rsidRPr="00140250">
        <w:rPr>
          <w:rFonts w:ascii="Arial" w:hAnsi="Arial" w:cs="Arial"/>
        </w:rPr>
        <w:t>crime</w:t>
      </w:r>
      <w:r w:rsidR="00317F53">
        <w:rPr>
          <w:rFonts w:ascii="Arial" w:hAnsi="Arial" w:cs="Arial"/>
        </w:rPr>
        <w:t>,</w:t>
      </w:r>
      <w:r w:rsidR="00554FCB">
        <w:rPr>
          <w:rFonts w:ascii="Arial" w:hAnsi="Arial" w:cs="Arial"/>
        </w:rPr>
        <w:t xml:space="preserve"> and </w:t>
      </w:r>
      <w:r w:rsidR="00317F53">
        <w:rPr>
          <w:rFonts w:ascii="Arial" w:hAnsi="Arial" w:cs="Arial"/>
        </w:rPr>
        <w:t>in the process</w:t>
      </w:r>
      <w:r w:rsidR="00554FCB">
        <w:rPr>
          <w:rFonts w:ascii="Arial" w:hAnsi="Arial" w:cs="Arial"/>
        </w:rPr>
        <w:t xml:space="preserve">. </w:t>
      </w:r>
      <w:proofErr w:type="gramStart"/>
      <w:r w:rsidR="00554FCB">
        <w:rPr>
          <w:rFonts w:ascii="Arial" w:hAnsi="Arial" w:cs="Arial"/>
        </w:rPr>
        <w:t>Instead</w:t>
      </w:r>
      <w:proofErr w:type="gramEnd"/>
      <w:r w:rsidR="00554FCB">
        <w:rPr>
          <w:rFonts w:ascii="Arial" w:hAnsi="Arial" w:cs="Arial"/>
        </w:rPr>
        <w:t xml:space="preserve"> it was left to the Commonwealth to throw a</w:t>
      </w:r>
      <w:r w:rsidR="00E76FA3" w:rsidRPr="00140250">
        <w:rPr>
          <w:rFonts w:ascii="Arial" w:hAnsi="Arial" w:cs="Arial"/>
        </w:rPr>
        <w:t xml:space="preserve"> </w:t>
      </w:r>
      <w:r w:rsidR="009C7579">
        <w:rPr>
          <w:rFonts w:ascii="Arial" w:hAnsi="Arial" w:cs="Arial"/>
        </w:rPr>
        <w:t>last-minute</w:t>
      </w:r>
      <w:r w:rsidR="00E76FA3" w:rsidRPr="00140250">
        <w:rPr>
          <w:rFonts w:ascii="Arial" w:hAnsi="Arial" w:cs="Arial"/>
        </w:rPr>
        <w:t xml:space="preserve"> financial </w:t>
      </w:r>
      <w:r w:rsidR="003E706E">
        <w:rPr>
          <w:rFonts w:ascii="Arial" w:hAnsi="Arial" w:cs="Arial"/>
        </w:rPr>
        <w:t>lifeline</w:t>
      </w:r>
      <w:r w:rsidR="00554FCB">
        <w:rPr>
          <w:rFonts w:ascii="Arial" w:hAnsi="Arial" w:cs="Arial"/>
        </w:rPr>
        <w:t xml:space="preserve"> and </w:t>
      </w:r>
      <w:r w:rsidR="00A42366" w:rsidRPr="00140250">
        <w:rPr>
          <w:rFonts w:ascii="Arial" w:hAnsi="Arial" w:cs="Arial"/>
        </w:rPr>
        <w:t>fund the service for a further 12 month</w:t>
      </w:r>
      <w:r w:rsidR="009C7579">
        <w:rPr>
          <w:rFonts w:ascii="Arial" w:hAnsi="Arial" w:cs="Arial"/>
        </w:rPr>
        <w:t>s</w:t>
      </w:r>
      <w:r w:rsidR="00A42366" w:rsidRPr="00140250">
        <w:rPr>
          <w:rFonts w:ascii="Arial" w:hAnsi="Arial" w:cs="Arial"/>
        </w:rPr>
        <w:t>.</w:t>
      </w:r>
      <w:r w:rsidR="009C7579">
        <w:rPr>
          <w:rFonts w:ascii="Arial" w:hAnsi="Arial" w:cs="Arial"/>
        </w:rPr>
        <w:t xml:space="preserve"> However, they have made it clear that </w:t>
      </w:r>
      <w:r w:rsidR="00773460">
        <w:rPr>
          <w:rFonts w:ascii="Arial" w:hAnsi="Arial" w:cs="Arial"/>
        </w:rPr>
        <w:t xml:space="preserve">any future </w:t>
      </w:r>
      <w:r w:rsidR="009C7579">
        <w:rPr>
          <w:rFonts w:ascii="Arial" w:hAnsi="Arial" w:cs="Arial"/>
        </w:rPr>
        <w:t xml:space="preserve">funding </w:t>
      </w:r>
      <w:r w:rsidR="004C33BE">
        <w:rPr>
          <w:rFonts w:ascii="Arial" w:hAnsi="Arial" w:cs="Arial"/>
        </w:rPr>
        <w:t xml:space="preserve">must </w:t>
      </w:r>
      <w:r w:rsidR="009C7579">
        <w:rPr>
          <w:rFonts w:ascii="Arial" w:hAnsi="Arial" w:cs="Arial"/>
        </w:rPr>
        <w:t xml:space="preserve">come from the NT </w:t>
      </w:r>
      <w:r w:rsidR="00773460">
        <w:rPr>
          <w:rFonts w:ascii="Arial" w:hAnsi="Arial" w:cs="Arial"/>
        </w:rPr>
        <w:t>government</w:t>
      </w:r>
      <w:r w:rsidR="009C7579">
        <w:rPr>
          <w:rFonts w:ascii="Arial" w:hAnsi="Arial" w:cs="Arial"/>
        </w:rPr>
        <w:t xml:space="preserve">. </w:t>
      </w:r>
      <w:r w:rsidR="00A42366" w:rsidRPr="00140250">
        <w:rPr>
          <w:rFonts w:ascii="Arial" w:hAnsi="Arial" w:cs="Arial"/>
        </w:rPr>
        <w:t xml:space="preserve"> </w:t>
      </w:r>
    </w:p>
    <w:bookmarkEnd w:id="18"/>
    <w:p w14:paraId="23C20244" w14:textId="77777777" w:rsidR="00EE69E5" w:rsidRPr="00140250" w:rsidRDefault="00EE69E5" w:rsidP="00981841">
      <w:pPr>
        <w:rPr>
          <w:rFonts w:ascii="Arial" w:hAnsi="Arial" w:cs="Arial"/>
        </w:rPr>
      </w:pPr>
    </w:p>
    <w:p w14:paraId="685661C7" w14:textId="4CB4BD80" w:rsidR="003644D7" w:rsidRPr="008704E4" w:rsidRDefault="00E76FA3" w:rsidP="008704E4">
      <w:pPr>
        <w:rPr>
          <w:rFonts w:ascii="Arial" w:hAnsi="Arial" w:cs="Arial"/>
        </w:rPr>
        <w:sectPr w:rsidR="003644D7" w:rsidRPr="008704E4" w:rsidSect="00EC3FBB">
          <w:pgSz w:w="11906" w:h="16838"/>
          <w:pgMar w:top="1440" w:right="1440" w:bottom="1440" w:left="1440" w:header="709" w:footer="709" w:gutter="0"/>
          <w:cols w:space="708"/>
          <w:docGrid w:linePitch="360"/>
        </w:sectPr>
      </w:pPr>
      <w:r w:rsidRPr="00140250">
        <w:rPr>
          <w:rFonts w:ascii="Arial" w:hAnsi="Arial" w:cs="Arial"/>
        </w:rPr>
        <w:t>What is required</w:t>
      </w:r>
      <w:r w:rsidR="004C33BE">
        <w:rPr>
          <w:rFonts w:ascii="Arial" w:hAnsi="Arial" w:cs="Arial"/>
        </w:rPr>
        <w:t xml:space="preserve"> for any service</w:t>
      </w:r>
      <w:r w:rsidRPr="00140250">
        <w:rPr>
          <w:rFonts w:ascii="Arial" w:hAnsi="Arial" w:cs="Arial"/>
        </w:rPr>
        <w:t xml:space="preserve"> to</w:t>
      </w:r>
      <w:r w:rsidR="00A42366" w:rsidRPr="00140250">
        <w:rPr>
          <w:rFonts w:ascii="Arial" w:hAnsi="Arial" w:cs="Arial"/>
        </w:rPr>
        <w:t xml:space="preserve"> enable</w:t>
      </w:r>
      <w:r w:rsidR="00EF1E09" w:rsidRPr="00140250">
        <w:rPr>
          <w:rFonts w:ascii="Arial" w:hAnsi="Arial" w:cs="Arial"/>
        </w:rPr>
        <w:t xml:space="preserve"> retention </w:t>
      </w:r>
      <w:r w:rsidR="004C33BE">
        <w:rPr>
          <w:rFonts w:ascii="Arial" w:hAnsi="Arial" w:cs="Arial"/>
        </w:rPr>
        <w:t xml:space="preserve">and development </w:t>
      </w:r>
      <w:r w:rsidR="00EF1E09" w:rsidRPr="00140250">
        <w:rPr>
          <w:rFonts w:ascii="Arial" w:hAnsi="Arial" w:cs="Arial"/>
        </w:rPr>
        <w:t xml:space="preserve">of </w:t>
      </w:r>
      <w:r w:rsidR="00317F53">
        <w:rPr>
          <w:rFonts w:ascii="Arial" w:hAnsi="Arial" w:cs="Arial"/>
        </w:rPr>
        <w:t xml:space="preserve">its </w:t>
      </w:r>
      <w:r w:rsidR="00EF1E09" w:rsidRPr="00140250">
        <w:rPr>
          <w:rFonts w:ascii="Arial" w:hAnsi="Arial" w:cs="Arial"/>
        </w:rPr>
        <w:t>staff and the development of collaborative relationships with other agencies and services providers</w:t>
      </w:r>
      <w:r w:rsidRPr="00140250">
        <w:rPr>
          <w:rFonts w:ascii="Arial" w:hAnsi="Arial" w:cs="Arial"/>
        </w:rPr>
        <w:t xml:space="preserve"> is </w:t>
      </w:r>
      <w:r w:rsidR="004C33BE">
        <w:rPr>
          <w:rFonts w:ascii="Arial" w:hAnsi="Arial" w:cs="Arial"/>
        </w:rPr>
        <w:lastRenderedPageBreak/>
        <w:t>long-term</w:t>
      </w:r>
      <w:r w:rsidRPr="00140250">
        <w:rPr>
          <w:rFonts w:ascii="Arial" w:hAnsi="Arial" w:cs="Arial"/>
        </w:rPr>
        <w:t xml:space="preserve"> funding</w:t>
      </w:r>
      <w:r w:rsidR="00EF1E09" w:rsidRPr="00140250">
        <w:rPr>
          <w:rFonts w:ascii="Arial" w:hAnsi="Arial" w:cs="Arial"/>
        </w:rPr>
        <w:t>.</w:t>
      </w:r>
      <w:r w:rsidR="004C33BE">
        <w:rPr>
          <w:rFonts w:ascii="Arial" w:hAnsi="Arial" w:cs="Arial"/>
        </w:rPr>
        <w:t xml:space="preserve"> The CNS is no different</w:t>
      </w:r>
      <w:r w:rsidR="003E706E" w:rsidRPr="00140250">
        <w:rPr>
          <w:rStyle w:val="FootnoteReference"/>
          <w:rFonts w:ascii="Arial" w:hAnsi="Arial" w:cs="Arial"/>
        </w:rPr>
        <w:footnoteReference w:id="80"/>
      </w:r>
      <w:r w:rsidR="004C33BE">
        <w:rPr>
          <w:rFonts w:ascii="Arial" w:hAnsi="Arial" w:cs="Arial"/>
        </w:rPr>
        <w:t xml:space="preserve">. </w:t>
      </w:r>
      <w:proofErr w:type="gramStart"/>
      <w:r w:rsidR="004C33BE">
        <w:rPr>
          <w:rFonts w:ascii="Arial" w:hAnsi="Arial" w:cs="Arial"/>
        </w:rPr>
        <w:t>So</w:t>
      </w:r>
      <w:proofErr w:type="gramEnd"/>
      <w:r w:rsidR="004C33BE">
        <w:rPr>
          <w:rFonts w:ascii="Arial" w:hAnsi="Arial" w:cs="Arial"/>
        </w:rPr>
        <w:t xml:space="preserve"> the NT government has a clear</w:t>
      </w:r>
      <w:r w:rsidR="003E706E">
        <w:rPr>
          <w:rFonts w:ascii="Arial" w:hAnsi="Arial" w:cs="Arial"/>
        </w:rPr>
        <w:t xml:space="preserve"> choice in the coming 12 months,</w:t>
      </w:r>
      <w:r w:rsidR="004C33BE">
        <w:rPr>
          <w:rFonts w:ascii="Arial" w:hAnsi="Arial" w:cs="Arial"/>
        </w:rPr>
        <w:t xml:space="preserve"> to fund a service t</w:t>
      </w:r>
      <w:r w:rsidR="00554FCB">
        <w:rPr>
          <w:rFonts w:ascii="Arial" w:hAnsi="Arial" w:cs="Arial"/>
        </w:rPr>
        <w:t>hat</w:t>
      </w:r>
      <w:r w:rsidR="004C33BE">
        <w:rPr>
          <w:rFonts w:ascii="Arial" w:hAnsi="Arial" w:cs="Arial"/>
        </w:rPr>
        <w:t xml:space="preserve"> assist</w:t>
      </w:r>
      <w:r w:rsidR="00554FCB">
        <w:rPr>
          <w:rFonts w:ascii="Arial" w:hAnsi="Arial" w:cs="Arial"/>
        </w:rPr>
        <w:t>s</w:t>
      </w:r>
      <w:r w:rsidR="004C33BE">
        <w:rPr>
          <w:rFonts w:ascii="Arial" w:hAnsi="Arial" w:cs="Arial"/>
        </w:rPr>
        <w:t xml:space="preserve"> the ever-increasing number of Aboriginal people coming into police custody</w:t>
      </w:r>
      <w:r w:rsidR="00554FCB">
        <w:rPr>
          <w:rFonts w:ascii="Arial" w:hAnsi="Arial" w:cs="Arial"/>
        </w:rPr>
        <w:t>,</w:t>
      </w:r>
      <w:r w:rsidR="004C33BE">
        <w:rPr>
          <w:rFonts w:ascii="Arial" w:hAnsi="Arial" w:cs="Arial"/>
        </w:rPr>
        <w:t xml:space="preserve"> or leave them </w:t>
      </w:r>
      <w:r w:rsidR="005C1BCE" w:rsidRPr="00140250">
        <w:rPr>
          <w:rFonts w:ascii="Arial" w:hAnsi="Arial" w:cs="Arial"/>
        </w:rPr>
        <w:t>to fall into the black hole.</w:t>
      </w:r>
      <w:r w:rsidR="003644D7" w:rsidRPr="008C7C19">
        <w:rPr>
          <w:rFonts w:asciiTheme="minorHAnsi" w:hAnsiTheme="minorHAnsi" w:cstheme="minorHAnsi"/>
        </w:rPr>
        <w:br w:type="page"/>
      </w:r>
    </w:p>
    <w:p w14:paraId="2213B012" w14:textId="6C7E3DEC" w:rsidR="003F6F41" w:rsidRPr="003644D7" w:rsidRDefault="003644D7" w:rsidP="003F6F41">
      <w:pPr>
        <w:rPr>
          <w:b/>
          <w:bCs/>
        </w:rPr>
      </w:pPr>
      <w:r w:rsidRPr="003644D7">
        <w:rPr>
          <w:b/>
          <w:bCs/>
        </w:rPr>
        <w:lastRenderedPageBreak/>
        <w:t>Annexure 1</w:t>
      </w:r>
    </w:p>
    <w:p w14:paraId="421A6C7D" w14:textId="53503D6B" w:rsidR="003644D7" w:rsidRDefault="003644D7" w:rsidP="003F6F41">
      <w:r>
        <w:rPr>
          <w:noProof/>
        </w:rPr>
        <w:drawing>
          <wp:inline distT="0" distB="0" distL="0" distR="0" wp14:anchorId="48510677" wp14:editId="687CC730">
            <wp:extent cx="8968740" cy="5295900"/>
            <wp:effectExtent l="0" t="0" r="381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8968740" cy="5295900"/>
                    </a:xfrm>
                    <a:prstGeom prst="rect">
                      <a:avLst/>
                    </a:prstGeom>
                  </pic:spPr>
                </pic:pic>
              </a:graphicData>
            </a:graphic>
          </wp:inline>
        </w:drawing>
      </w:r>
    </w:p>
    <w:sectPr w:rsidR="003644D7" w:rsidSect="003644D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F494" w14:textId="77777777" w:rsidR="006529B2" w:rsidRDefault="006529B2" w:rsidP="00487EAB">
      <w:r>
        <w:separator/>
      </w:r>
    </w:p>
  </w:endnote>
  <w:endnote w:type="continuationSeparator" w:id="0">
    <w:p w14:paraId="3F6A769F" w14:textId="77777777" w:rsidR="006529B2" w:rsidRDefault="006529B2" w:rsidP="0048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PT Medium">
    <w:altName w:val="Century Gothic"/>
    <w:panose1 w:val="00000000000000000000"/>
    <w:charset w:val="00"/>
    <w:family w:val="swiss"/>
    <w:notTrueType/>
    <w:pitch w:val="default"/>
    <w:sig w:usb0="00000003" w:usb1="00000000" w:usb2="00000000" w:usb3="00000000" w:csb0="00000001" w:csb1="00000000"/>
  </w:font>
  <w:font w:name="Futura PT Book">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0EA1" w14:textId="77777777" w:rsidR="006529B2" w:rsidRDefault="006529B2" w:rsidP="00487EAB">
      <w:r>
        <w:separator/>
      </w:r>
    </w:p>
  </w:footnote>
  <w:footnote w:type="continuationSeparator" w:id="0">
    <w:p w14:paraId="2A27DF1A" w14:textId="77777777" w:rsidR="006529B2" w:rsidRDefault="006529B2" w:rsidP="00487EAB">
      <w:r>
        <w:continuationSeparator/>
      </w:r>
    </w:p>
  </w:footnote>
  <w:footnote w:id="1">
    <w:p w14:paraId="63625762" w14:textId="25B39CAE" w:rsidR="00E31F61" w:rsidRDefault="00E31F61">
      <w:pPr>
        <w:pStyle w:val="FootnoteText"/>
      </w:pPr>
      <w:r>
        <w:rPr>
          <w:rStyle w:val="FootnoteReference"/>
        </w:rPr>
        <w:footnoteRef/>
      </w:r>
      <w:r>
        <w:t xml:space="preserve"> </w:t>
      </w:r>
      <w:r w:rsidRPr="00A24C09">
        <w:t>https://www.collinsdictionary.com/dictionary/english/black-hole#:~:text=Black%20holes%20are%20areas%20in,be%20formed%20by%20collapsed%20stars.&amp;text=If%20you%20say%20that%20something,disappeared%20and%20cannot%20be%20recovered.</w:t>
      </w:r>
    </w:p>
  </w:footnote>
  <w:footnote w:id="2">
    <w:p w14:paraId="56D4A1EE" w14:textId="21E54B51" w:rsidR="00E31F61" w:rsidRDefault="00E31F61">
      <w:pPr>
        <w:pStyle w:val="FootnoteText"/>
      </w:pPr>
      <w:r>
        <w:rPr>
          <w:rStyle w:val="FootnoteReference"/>
        </w:rPr>
        <w:footnoteRef/>
      </w:r>
      <w:r>
        <w:t xml:space="preserve"> Collins online dictionary (n1)</w:t>
      </w:r>
    </w:p>
  </w:footnote>
  <w:footnote w:id="3">
    <w:p w14:paraId="26B411AF" w14:textId="0F0329E4" w:rsidR="00DD70D0" w:rsidRDefault="00DD70D0">
      <w:pPr>
        <w:pStyle w:val="FootnoteText"/>
      </w:pPr>
      <w:r>
        <w:rPr>
          <w:rStyle w:val="FootnoteReference"/>
        </w:rPr>
        <w:footnoteRef/>
      </w:r>
      <w:r>
        <w:t xml:space="preserve"> Australian Bureau of Statistics (31 August 2018). </w:t>
      </w:r>
      <w:r w:rsidR="00AE3DEF">
        <w:t>&lt;</w:t>
      </w:r>
      <w:r w:rsidRPr="00DD70D0">
        <w:t>https://www.abs.gov.au/statistics/people/aboriginal-and-torres-strait-islander-peoples/estimates-aboriginal-and-torres-strait-islander-australians/latest-release#:~:text=States%20and%20territories&amp;text=Aboriginal%20and%20Torres%20Strait%20Islander%20Australians%20comprised%2030%25%20of%20the,of%20any%20state%20or%20territory</w:t>
      </w:r>
      <w:r w:rsidR="00AE3DEF">
        <w:t>&gt;</w:t>
      </w:r>
    </w:p>
  </w:footnote>
  <w:footnote w:id="4">
    <w:p w14:paraId="1CC6B255" w14:textId="78724CA8" w:rsidR="003F1AB2" w:rsidRDefault="003F1AB2">
      <w:pPr>
        <w:pStyle w:val="FootnoteText"/>
      </w:pPr>
      <w:r>
        <w:rPr>
          <w:rStyle w:val="FootnoteReference"/>
        </w:rPr>
        <w:footnoteRef/>
      </w:r>
      <w:r>
        <w:t xml:space="preserve"> </w:t>
      </w:r>
      <w:r w:rsidRPr="003F1AB2">
        <w:t>https://www.theguardian.com/australia-news/2021/jan/22/indigenous-prison-population-continues-to-increase-while-non-indigenous-incarceration-rate-falls</w:t>
      </w:r>
    </w:p>
  </w:footnote>
  <w:footnote w:id="5">
    <w:p w14:paraId="1F3E3859" w14:textId="677E9BFD" w:rsidR="00FB1241" w:rsidRPr="0009392A" w:rsidRDefault="00FB1241" w:rsidP="00FB1241">
      <w:pPr>
        <w:shd w:val="clear" w:color="auto" w:fill="FFFFFF"/>
        <w:spacing w:after="180"/>
        <w:outlineLvl w:val="2"/>
        <w:rPr>
          <w:rFonts w:asciiTheme="minorHAnsi" w:eastAsia="Times New Roman" w:hAnsiTheme="minorHAnsi" w:cstheme="minorHAnsi"/>
          <w:bCs/>
          <w:sz w:val="20"/>
          <w:szCs w:val="20"/>
          <w:lang w:eastAsia="en-AU"/>
        </w:rPr>
      </w:pPr>
      <w:r w:rsidRPr="0009392A">
        <w:rPr>
          <w:rStyle w:val="FootnoteReference"/>
          <w:rFonts w:asciiTheme="minorHAnsi" w:hAnsiTheme="minorHAnsi" w:cstheme="minorHAnsi"/>
          <w:sz w:val="20"/>
          <w:szCs w:val="20"/>
        </w:rPr>
        <w:footnoteRef/>
      </w:r>
      <w:r w:rsidRPr="0009392A">
        <w:rPr>
          <w:rFonts w:asciiTheme="minorHAnsi" w:hAnsiTheme="minorHAnsi" w:cstheme="minorHAnsi"/>
          <w:sz w:val="20"/>
          <w:szCs w:val="20"/>
        </w:rPr>
        <w:t xml:space="preserve"> </w:t>
      </w:r>
      <w:r w:rsidR="007E132E" w:rsidRPr="0009392A">
        <w:rPr>
          <w:rFonts w:asciiTheme="minorHAnsi" w:eastAsia="Times New Roman" w:hAnsiTheme="minorHAnsi" w:cstheme="minorHAnsi"/>
          <w:bCs/>
          <w:i/>
          <w:sz w:val="20"/>
          <w:szCs w:val="20"/>
          <w:lang w:eastAsia="en-AU"/>
        </w:rPr>
        <w:t>Law Enforcement (Powers and Responsibilities</w:t>
      </w:r>
      <w:r w:rsidRPr="0009392A">
        <w:rPr>
          <w:rFonts w:asciiTheme="minorHAnsi" w:eastAsia="Times New Roman" w:hAnsiTheme="minorHAnsi" w:cstheme="minorHAnsi"/>
          <w:bCs/>
          <w:i/>
          <w:sz w:val="20"/>
          <w:szCs w:val="20"/>
          <w:lang w:eastAsia="en-AU"/>
        </w:rPr>
        <w:t>) A</w:t>
      </w:r>
      <w:r w:rsidR="007E132E" w:rsidRPr="0009392A">
        <w:rPr>
          <w:rFonts w:asciiTheme="minorHAnsi" w:eastAsia="Times New Roman" w:hAnsiTheme="minorHAnsi" w:cstheme="minorHAnsi"/>
          <w:bCs/>
          <w:i/>
          <w:sz w:val="20"/>
          <w:szCs w:val="20"/>
          <w:lang w:eastAsia="en-AU"/>
        </w:rPr>
        <w:t xml:space="preserve">ct </w:t>
      </w:r>
      <w:r w:rsidRPr="0009392A">
        <w:rPr>
          <w:rFonts w:asciiTheme="minorHAnsi" w:eastAsia="Times New Roman" w:hAnsiTheme="minorHAnsi" w:cstheme="minorHAnsi"/>
          <w:bCs/>
          <w:iCs/>
          <w:sz w:val="20"/>
          <w:szCs w:val="20"/>
          <w:lang w:eastAsia="en-AU"/>
        </w:rPr>
        <w:t>2002 (NSW),</w:t>
      </w:r>
      <w:r w:rsidRPr="0009392A">
        <w:rPr>
          <w:rFonts w:asciiTheme="minorHAnsi" w:eastAsia="Times New Roman" w:hAnsiTheme="minorHAnsi" w:cstheme="minorHAnsi"/>
          <w:bCs/>
          <w:sz w:val="20"/>
          <w:szCs w:val="20"/>
          <w:lang w:eastAsia="en-AU"/>
        </w:rPr>
        <w:t xml:space="preserve"> </w:t>
      </w:r>
      <w:r w:rsidR="007E132E" w:rsidRPr="0009392A">
        <w:rPr>
          <w:rFonts w:asciiTheme="minorHAnsi" w:eastAsia="Times New Roman" w:hAnsiTheme="minorHAnsi" w:cstheme="minorHAnsi"/>
          <w:bCs/>
          <w:sz w:val="20"/>
          <w:szCs w:val="20"/>
          <w:lang w:eastAsia="en-AU"/>
        </w:rPr>
        <w:t>s</w:t>
      </w:r>
      <w:r w:rsidRPr="0009392A">
        <w:rPr>
          <w:rFonts w:asciiTheme="minorHAnsi" w:eastAsia="Times New Roman" w:hAnsiTheme="minorHAnsi" w:cstheme="minorHAnsi"/>
          <w:bCs/>
          <w:sz w:val="20"/>
          <w:szCs w:val="20"/>
          <w:lang w:eastAsia="en-AU"/>
        </w:rPr>
        <w:t>206</w:t>
      </w:r>
    </w:p>
  </w:footnote>
  <w:footnote w:id="6">
    <w:p w14:paraId="31046CE6" w14:textId="7F4E5BAB" w:rsidR="00FB1241" w:rsidRPr="0009392A" w:rsidRDefault="00FB1241" w:rsidP="00FB1241">
      <w:pPr>
        <w:rPr>
          <w:rFonts w:asciiTheme="minorHAnsi" w:hAnsiTheme="minorHAnsi" w:cstheme="minorHAnsi"/>
          <w:sz w:val="20"/>
          <w:szCs w:val="20"/>
        </w:rPr>
      </w:pPr>
      <w:r w:rsidRPr="0009392A">
        <w:rPr>
          <w:rStyle w:val="FootnoteReference"/>
          <w:rFonts w:asciiTheme="minorHAnsi" w:hAnsiTheme="minorHAnsi" w:cstheme="minorHAnsi"/>
          <w:sz w:val="20"/>
          <w:szCs w:val="20"/>
        </w:rPr>
        <w:footnoteRef/>
      </w:r>
      <w:r w:rsidRPr="0009392A">
        <w:rPr>
          <w:rFonts w:asciiTheme="minorHAnsi" w:hAnsiTheme="minorHAnsi" w:cstheme="minorHAnsi"/>
          <w:sz w:val="20"/>
          <w:szCs w:val="20"/>
        </w:rPr>
        <w:t xml:space="preserve"> </w:t>
      </w:r>
      <w:r w:rsidRPr="0009392A">
        <w:rPr>
          <w:rFonts w:asciiTheme="minorHAnsi" w:hAnsiTheme="minorHAnsi" w:cstheme="minorHAnsi"/>
          <w:i/>
          <w:sz w:val="20"/>
          <w:szCs w:val="20"/>
        </w:rPr>
        <w:t>P</w:t>
      </w:r>
      <w:r w:rsidR="007E132E" w:rsidRPr="0009392A">
        <w:rPr>
          <w:rFonts w:asciiTheme="minorHAnsi" w:hAnsiTheme="minorHAnsi" w:cstheme="minorHAnsi"/>
          <w:i/>
          <w:sz w:val="20"/>
          <w:szCs w:val="20"/>
        </w:rPr>
        <w:t>rotective Custod</w:t>
      </w:r>
      <w:r w:rsidR="0009392A" w:rsidRPr="0009392A">
        <w:rPr>
          <w:rFonts w:asciiTheme="minorHAnsi" w:hAnsiTheme="minorHAnsi" w:cstheme="minorHAnsi"/>
          <w:i/>
          <w:sz w:val="20"/>
          <w:szCs w:val="20"/>
        </w:rPr>
        <w:t>y</w:t>
      </w:r>
      <w:r w:rsidR="007E132E" w:rsidRPr="0009392A">
        <w:rPr>
          <w:rFonts w:asciiTheme="minorHAnsi" w:hAnsiTheme="minorHAnsi" w:cstheme="minorHAnsi"/>
          <w:i/>
          <w:sz w:val="20"/>
          <w:szCs w:val="20"/>
        </w:rPr>
        <w:t xml:space="preserve"> Act</w:t>
      </w:r>
      <w:r w:rsidRPr="0009392A">
        <w:rPr>
          <w:rFonts w:asciiTheme="minorHAnsi" w:hAnsiTheme="minorHAnsi" w:cstheme="minorHAnsi"/>
          <w:i/>
          <w:sz w:val="20"/>
          <w:szCs w:val="20"/>
        </w:rPr>
        <w:t xml:space="preserve"> </w:t>
      </w:r>
      <w:r w:rsidRPr="0009392A">
        <w:rPr>
          <w:rFonts w:asciiTheme="minorHAnsi" w:hAnsiTheme="minorHAnsi" w:cstheme="minorHAnsi"/>
          <w:sz w:val="20"/>
          <w:szCs w:val="20"/>
        </w:rPr>
        <w:t>(2000) (WA)</w:t>
      </w:r>
      <w:r w:rsidR="007E132E" w:rsidRPr="0009392A">
        <w:rPr>
          <w:rFonts w:asciiTheme="minorHAnsi" w:hAnsiTheme="minorHAnsi" w:cstheme="minorHAnsi"/>
          <w:sz w:val="20"/>
          <w:szCs w:val="20"/>
        </w:rPr>
        <w:t>, s</w:t>
      </w:r>
      <w:r w:rsidRPr="0009392A">
        <w:rPr>
          <w:rFonts w:asciiTheme="minorHAnsi" w:hAnsiTheme="minorHAnsi" w:cstheme="minorHAnsi"/>
          <w:sz w:val="20"/>
          <w:szCs w:val="20"/>
        </w:rPr>
        <w:t>12</w:t>
      </w:r>
      <w:r w:rsidRPr="0009392A">
        <w:rPr>
          <w:rFonts w:asciiTheme="minorHAnsi" w:hAnsiTheme="minorHAnsi" w:cstheme="minorHAnsi"/>
          <w:color w:val="C1503A"/>
          <w:sz w:val="20"/>
          <w:szCs w:val="20"/>
        </w:rPr>
        <w:t>       </w:t>
      </w:r>
    </w:p>
  </w:footnote>
  <w:footnote w:id="7">
    <w:p w14:paraId="53A16338" w14:textId="1F8B1A65" w:rsidR="00FB1241" w:rsidRPr="0009392A" w:rsidRDefault="00FB1241" w:rsidP="00FB1241">
      <w:pPr>
        <w:rPr>
          <w:rFonts w:asciiTheme="minorHAnsi" w:hAnsiTheme="minorHAnsi" w:cstheme="minorHAnsi"/>
          <w:sz w:val="20"/>
          <w:szCs w:val="20"/>
          <w:lang w:val="en"/>
        </w:rPr>
      </w:pPr>
      <w:r w:rsidRPr="0009392A">
        <w:rPr>
          <w:rStyle w:val="FootnoteReference"/>
          <w:rFonts w:asciiTheme="minorHAnsi" w:hAnsiTheme="minorHAnsi" w:cstheme="minorHAnsi"/>
          <w:sz w:val="20"/>
          <w:szCs w:val="20"/>
        </w:rPr>
        <w:footnoteRef/>
      </w:r>
      <w:r w:rsidRPr="0009392A">
        <w:rPr>
          <w:rFonts w:asciiTheme="minorHAnsi" w:hAnsiTheme="minorHAnsi" w:cstheme="minorHAnsi"/>
          <w:sz w:val="20"/>
          <w:szCs w:val="20"/>
        </w:rPr>
        <w:t xml:space="preserve"> </w:t>
      </w:r>
      <w:r w:rsidRPr="0009392A">
        <w:rPr>
          <w:rFonts w:asciiTheme="minorHAnsi" w:hAnsiTheme="minorHAnsi" w:cstheme="minorHAnsi"/>
          <w:i/>
          <w:sz w:val="20"/>
          <w:szCs w:val="20"/>
          <w:lang w:val="en"/>
        </w:rPr>
        <w:t>P</w:t>
      </w:r>
      <w:r w:rsidR="0009392A" w:rsidRPr="0009392A">
        <w:rPr>
          <w:rFonts w:asciiTheme="minorHAnsi" w:hAnsiTheme="minorHAnsi" w:cstheme="minorHAnsi"/>
          <w:i/>
          <w:sz w:val="20"/>
          <w:szCs w:val="20"/>
          <w:lang w:val="en"/>
        </w:rPr>
        <w:t>olice Offences Act</w:t>
      </w:r>
      <w:r w:rsidRPr="0009392A">
        <w:rPr>
          <w:rFonts w:asciiTheme="minorHAnsi" w:hAnsiTheme="minorHAnsi" w:cstheme="minorHAnsi"/>
          <w:i/>
          <w:sz w:val="20"/>
          <w:szCs w:val="20"/>
          <w:lang w:val="en"/>
        </w:rPr>
        <w:t xml:space="preserve"> </w:t>
      </w:r>
      <w:r w:rsidRPr="0009392A">
        <w:rPr>
          <w:rFonts w:asciiTheme="minorHAnsi" w:hAnsiTheme="minorHAnsi" w:cstheme="minorHAnsi"/>
          <w:iCs/>
          <w:sz w:val="20"/>
          <w:szCs w:val="20"/>
          <w:lang w:val="en"/>
        </w:rPr>
        <w:t>1935 (TAS)</w:t>
      </w:r>
      <w:r w:rsidR="0009392A" w:rsidRPr="0009392A">
        <w:rPr>
          <w:rFonts w:asciiTheme="minorHAnsi" w:hAnsiTheme="minorHAnsi" w:cstheme="minorHAnsi"/>
          <w:iCs/>
          <w:sz w:val="20"/>
          <w:szCs w:val="20"/>
          <w:lang w:val="en"/>
        </w:rPr>
        <w:t>,</w:t>
      </w:r>
      <w:r w:rsidR="0009392A" w:rsidRPr="0009392A">
        <w:rPr>
          <w:rFonts w:asciiTheme="minorHAnsi" w:hAnsiTheme="minorHAnsi" w:cstheme="minorHAnsi"/>
          <w:sz w:val="20"/>
          <w:szCs w:val="20"/>
          <w:lang w:val="en"/>
        </w:rPr>
        <w:t xml:space="preserve"> s</w:t>
      </w:r>
      <w:r w:rsidRPr="0009392A">
        <w:rPr>
          <w:rFonts w:asciiTheme="minorHAnsi" w:hAnsiTheme="minorHAnsi" w:cstheme="minorHAnsi"/>
          <w:sz w:val="20"/>
          <w:szCs w:val="20"/>
          <w:lang w:val="en"/>
        </w:rPr>
        <w:t xml:space="preserve"> 4A</w:t>
      </w:r>
    </w:p>
  </w:footnote>
  <w:footnote w:id="8">
    <w:p w14:paraId="635B5561" w14:textId="330481DD" w:rsidR="006135FA" w:rsidRPr="0009392A" w:rsidRDefault="006135FA">
      <w:pPr>
        <w:pStyle w:val="FootnoteText"/>
        <w:rPr>
          <w:rFonts w:asciiTheme="minorHAnsi" w:hAnsiTheme="minorHAnsi" w:cstheme="minorHAnsi"/>
        </w:rPr>
      </w:pPr>
      <w:r w:rsidRPr="0009392A">
        <w:rPr>
          <w:rStyle w:val="FootnoteReference"/>
          <w:rFonts w:asciiTheme="minorHAnsi" w:hAnsiTheme="minorHAnsi" w:cstheme="minorHAnsi"/>
        </w:rPr>
        <w:footnoteRef/>
      </w:r>
      <w:r w:rsidRPr="0009392A">
        <w:rPr>
          <w:rFonts w:asciiTheme="minorHAnsi" w:hAnsiTheme="minorHAnsi" w:cstheme="minorHAnsi"/>
        </w:rPr>
        <w:t xml:space="preserve"> </w:t>
      </w:r>
      <w:r w:rsidRPr="0009392A">
        <w:rPr>
          <w:rFonts w:asciiTheme="minorHAnsi" w:hAnsiTheme="minorHAnsi" w:cstheme="minorHAnsi"/>
          <w:shd w:val="clear" w:color="auto" w:fill="FFFFFF"/>
        </w:rPr>
        <w:t xml:space="preserve">ibid at </w:t>
      </w:r>
      <w:r w:rsidR="0009392A" w:rsidRPr="0009392A">
        <w:rPr>
          <w:rFonts w:asciiTheme="minorHAnsi" w:hAnsiTheme="minorHAnsi" w:cstheme="minorHAnsi"/>
          <w:shd w:val="clear" w:color="auto" w:fill="FFFFFF"/>
        </w:rPr>
        <w:t>s</w:t>
      </w:r>
      <w:r w:rsidRPr="0009392A">
        <w:rPr>
          <w:rFonts w:asciiTheme="minorHAnsi" w:hAnsiTheme="minorHAnsi" w:cstheme="minorHAnsi"/>
          <w:shd w:val="clear" w:color="auto" w:fill="FFFFFF"/>
        </w:rPr>
        <w:t xml:space="preserve">7(8) </w:t>
      </w:r>
    </w:p>
  </w:footnote>
  <w:footnote w:id="9">
    <w:p w14:paraId="579134C9" w14:textId="3A90BD68" w:rsidR="00EE2CDF" w:rsidRDefault="00EE2CDF">
      <w:pPr>
        <w:pStyle w:val="FootnoteText"/>
      </w:pPr>
      <w:r>
        <w:rPr>
          <w:rStyle w:val="FootnoteReference"/>
        </w:rPr>
        <w:footnoteRef/>
      </w:r>
      <w:r>
        <w:t xml:space="preserve"> Liquor Act (NT) s101U</w:t>
      </w:r>
      <w:r w:rsidR="00012013">
        <w:t xml:space="preserve"> (now repealed)</w:t>
      </w:r>
    </w:p>
  </w:footnote>
  <w:footnote w:id="10">
    <w:p w14:paraId="5FB77A9A" w14:textId="28A05B32" w:rsidR="00012013" w:rsidRDefault="00012013">
      <w:pPr>
        <w:pStyle w:val="FootnoteText"/>
      </w:pPr>
      <w:r>
        <w:rPr>
          <w:rStyle w:val="FootnoteReference"/>
        </w:rPr>
        <w:footnoteRef/>
      </w:r>
      <w:r>
        <w:t xml:space="preserve">  Liquor Act 2019 (NT), s171</w:t>
      </w:r>
    </w:p>
  </w:footnote>
  <w:footnote w:id="11">
    <w:p w14:paraId="4F8D352F" w14:textId="694828C3" w:rsidR="00EA7F2E" w:rsidRDefault="00EA7F2E">
      <w:pPr>
        <w:pStyle w:val="FootnoteText"/>
      </w:pPr>
      <w:r>
        <w:rPr>
          <w:rStyle w:val="FootnoteReference"/>
        </w:rPr>
        <w:footnoteRef/>
      </w:r>
      <w:r>
        <w:t xml:space="preserve"> NTPFES Annual Report, 2019-2020 at p181</w:t>
      </w:r>
    </w:p>
  </w:footnote>
  <w:footnote w:id="12">
    <w:p w14:paraId="1847FD2B" w14:textId="751A0871" w:rsidR="00EA7F2E" w:rsidRDefault="00EA7F2E">
      <w:pPr>
        <w:pStyle w:val="FootnoteText"/>
      </w:pPr>
      <w:r>
        <w:rPr>
          <w:rStyle w:val="FootnoteReference"/>
        </w:rPr>
        <w:footnoteRef/>
      </w:r>
      <w:r>
        <w:t xml:space="preserve"> ibid</w:t>
      </w:r>
    </w:p>
  </w:footnote>
  <w:footnote w:id="13">
    <w:p w14:paraId="7865B410" w14:textId="77777777" w:rsidR="004608E1" w:rsidRPr="0009392A" w:rsidRDefault="004608E1" w:rsidP="004608E1">
      <w:pPr>
        <w:pStyle w:val="FootnoteText"/>
        <w:rPr>
          <w:rFonts w:asciiTheme="minorHAnsi" w:hAnsiTheme="minorHAnsi" w:cstheme="minorHAnsi"/>
        </w:rPr>
      </w:pPr>
      <w:r w:rsidRPr="0009392A">
        <w:rPr>
          <w:rStyle w:val="FootnoteReference"/>
          <w:rFonts w:asciiTheme="minorHAnsi" w:hAnsiTheme="minorHAnsi" w:cstheme="minorHAnsi"/>
        </w:rPr>
        <w:footnoteRef/>
      </w:r>
      <w:r w:rsidRPr="0009392A">
        <w:rPr>
          <w:rFonts w:asciiTheme="minorHAnsi" w:hAnsiTheme="minorHAnsi" w:cstheme="minorHAnsi"/>
        </w:rPr>
        <w:t xml:space="preserve"> </w:t>
      </w:r>
      <w:proofErr w:type="spellStart"/>
      <w:r w:rsidRPr="0009392A">
        <w:rPr>
          <w:rFonts w:asciiTheme="minorHAnsi" w:hAnsiTheme="minorHAnsi" w:cstheme="minorHAnsi"/>
        </w:rPr>
        <w:t>Hunyor</w:t>
      </w:r>
      <w:proofErr w:type="spellEnd"/>
      <w:r w:rsidRPr="0009392A">
        <w:rPr>
          <w:rFonts w:asciiTheme="minorHAnsi" w:hAnsiTheme="minorHAnsi" w:cstheme="minorHAnsi"/>
        </w:rPr>
        <w:t xml:space="preserve"> J, (2015). </w:t>
      </w:r>
      <w:r w:rsidRPr="0009392A">
        <w:rPr>
          <w:rFonts w:asciiTheme="minorHAnsi" w:hAnsiTheme="minorHAnsi" w:cstheme="minorHAnsi"/>
          <w:i/>
        </w:rPr>
        <w:t xml:space="preserve">Imprison ME NT.  </w:t>
      </w:r>
      <w:r w:rsidRPr="0009392A">
        <w:rPr>
          <w:rFonts w:asciiTheme="minorHAnsi" w:hAnsiTheme="minorHAnsi" w:cstheme="minorHAnsi"/>
        </w:rPr>
        <w:t>CLANT Bali Conference 2015</w:t>
      </w:r>
    </w:p>
    <w:p w14:paraId="3DBDE884" w14:textId="70B9D028" w:rsidR="004608E1" w:rsidRDefault="004608E1" w:rsidP="004608E1">
      <w:pPr>
        <w:pStyle w:val="FootnoteText"/>
      </w:pPr>
      <w:r w:rsidRPr="0009392A">
        <w:rPr>
          <w:rFonts w:asciiTheme="minorHAnsi" w:hAnsiTheme="minorHAnsi" w:cstheme="minorHAnsi"/>
          <w:i/>
        </w:rPr>
        <w:t>https://clant.org.au/wp-content/uploads/the-bali-conference/2015/Hunyor.pdf</w:t>
      </w:r>
    </w:p>
  </w:footnote>
  <w:footnote w:id="14">
    <w:p w14:paraId="7145BC30" w14:textId="77777777" w:rsidR="00853EC9" w:rsidRDefault="00853EC9">
      <w:pPr>
        <w:pStyle w:val="FootnoteText"/>
      </w:pPr>
      <w:r>
        <w:rPr>
          <w:rStyle w:val="FootnoteReference"/>
        </w:rPr>
        <w:footnoteRef/>
      </w:r>
      <w:r>
        <w:t xml:space="preserve"> Inquest into the death of </w:t>
      </w:r>
      <w:r w:rsidRPr="00AE4FE2">
        <w:rPr>
          <w:i/>
          <w:iCs/>
        </w:rPr>
        <w:t xml:space="preserve">Perry </w:t>
      </w:r>
      <w:proofErr w:type="spellStart"/>
      <w:r w:rsidRPr="00AE4FE2">
        <w:rPr>
          <w:i/>
          <w:iCs/>
        </w:rPr>
        <w:t>Jabanangka</w:t>
      </w:r>
      <w:proofErr w:type="spellEnd"/>
      <w:r w:rsidRPr="00AE4FE2">
        <w:rPr>
          <w:i/>
          <w:iCs/>
        </w:rPr>
        <w:t xml:space="preserve"> Langdon</w:t>
      </w:r>
      <w:r>
        <w:t xml:space="preserve"> [2015] NTMC 16</w:t>
      </w:r>
    </w:p>
  </w:footnote>
  <w:footnote w:id="15">
    <w:p w14:paraId="1B5176E6" w14:textId="77777777" w:rsidR="00853EC9" w:rsidRDefault="00853EC9">
      <w:pPr>
        <w:pStyle w:val="FootnoteText"/>
      </w:pPr>
      <w:r>
        <w:rPr>
          <w:rStyle w:val="FootnoteReference"/>
        </w:rPr>
        <w:footnoteRef/>
      </w:r>
      <w:r>
        <w:t xml:space="preserve"> Ibid at [90]</w:t>
      </w:r>
    </w:p>
  </w:footnote>
  <w:footnote w:id="16">
    <w:p w14:paraId="1F4B19F7" w14:textId="12BCF705" w:rsidR="00C876B5" w:rsidRPr="00C876B5" w:rsidRDefault="00C876B5">
      <w:pPr>
        <w:pStyle w:val="FootnoteText"/>
      </w:pPr>
      <w:r>
        <w:rPr>
          <w:rStyle w:val="FootnoteReference"/>
        </w:rPr>
        <w:footnoteRef/>
      </w:r>
      <w:r>
        <w:t xml:space="preserve"> </w:t>
      </w:r>
      <w:r>
        <w:rPr>
          <w:i/>
        </w:rPr>
        <w:t xml:space="preserve">North Australian Aboriginal Justice Agency v Northern Territory </w:t>
      </w:r>
      <w:r>
        <w:t>[2015] HCA 41 at [27]</w:t>
      </w:r>
    </w:p>
  </w:footnote>
  <w:footnote w:id="17">
    <w:p w14:paraId="6D1AF788" w14:textId="55E1260B" w:rsidR="00D85BD9" w:rsidRDefault="00D85BD9">
      <w:pPr>
        <w:pStyle w:val="FootnoteText"/>
      </w:pPr>
      <w:r>
        <w:rPr>
          <w:rStyle w:val="FootnoteReference"/>
        </w:rPr>
        <w:footnoteRef/>
      </w:r>
      <w:r>
        <w:t xml:space="preserve"> </w:t>
      </w:r>
      <w:r w:rsidRPr="00D85BD9">
        <w:rPr>
          <w:i/>
          <w:iCs/>
        </w:rPr>
        <w:t>Police Administration Act</w:t>
      </w:r>
      <w:r>
        <w:t xml:space="preserve"> (NT), s123</w:t>
      </w:r>
    </w:p>
  </w:footnote>
  <w:footnote w:id="18">
    <w:p w14:paraId="1D71CD2C" w14:textId="07772013" w:rsidR="00F52F90" w:rsidRPr="00603EAE" w:rsidRDefault="00F52F90" w:rsidP="00F52F90">
      <w:pPr>
        <w:pStyle w:val="FootnoteText"/>
      </w:pPr>
      <w:r>
        <w:rPr>
          <w:rStyle w:val="FootnoteReference"/>
        </w:rPr>
        <w:footnoteRef/>
      </w:r>
      <w:r>
        <w:t xml:space="preserve"> Cf </w:t>
      </w:r>
      <w:r w:rsidRPr="00832538">
        <w:rPr>
          <w:i/>
        </w:rPr>
        <w:t>Law Enforcement (Powers and Responsibilities) Act</w:t>
      </w:r>
      <w:r>
        <w:t xml:space="preserve"> (NSW), s99; </w:t>
      </w:r>
      <w:r>
        <w:rPr>
          <w:i/>
        </w:rPr>
        <w:t xml:space="preserve">Police Powers and Responsibilities Act </w:t>
      </w:r>
      <w:r>
        <w:t xml:space="preserve">(QLD), s365(1); </w:t>
      </w:r>
      <w:r>
        <w:rPr>
          <w:i/>
        </w:rPr>
        <w:t xml:space="preserve">Crimes Act </w:t>
      </w:r>
      <w:r>
        <w:t xml:space="preserve">(Vic), s458-459; </w:t>
      </w:r>
      <w:r>
        <w:rPr>
          <w:i/>
        </w:rPr>
        <w:t xml:space="preserve">Criminal Code Act </w:t>
      </w:r>
      <w:r>
        <w:t xml:space="preserve">(Tas), s27, </w:t>
      </w:r>
      <w:r>
        <w:rPr>
          <w:i/>
        </w:rPr>
        <w:t xml:space="preserve">Criminal Investigation Act </w:t>
      </w:r>
      <w:r>
        <w:t>(WA</w:t>
      </w:r>
      <w:proofErr w:type="gramStart"/>
      <w:r>
        <w:t>),s</w:t>
      </w:r>
      <w:proofErr w:type="gramEnd"/>
      <w:r>
        <w:t xml:space="preserve">128, </w:t>
      </w:r>
      <w:r>
        <w:rPr>
          <w:i/>
        </w:rPr>
        <w:t xml:space="preserve">Crimes Act </w:t>
      </w:r>
      <w:r>
        <w:t>(ACT), s212</w:t>
      </w:r>
      <w:r w:rsidR="007779A2">
        <w:t xml:space="preserve"> for adults; and</w:t>
      </w:r>
      <w:r w:rsidR="00603EAE">
        <w:t xml:space="preserve"> for youths </w:t>
      </w:r>
      <w:proofErr w:type="spellStart"/>
      <w:r w:rsidR="00603EAE">
        <w:t>cf</w:t>
      </w:r>
      <w:proofErr w:type="spellEnd"/>
      <w:r w:rsidR="007779A2">
        <w:t xml:space="preserve"> </w:t>
      </w:r>
      <w:r w:rsidR="00603EAE">
        <w:rPr>
          <w:i/>
          <w:iCs/>
        </w:rPr>
        <w:t xml:space="preserve">Youth Justice Act </w:t>
      </w:r>
      <w:r w:rsidR="00603EAE">
        <w:t xml:space="preserve">(Tas), 24, </w:t>
      </w:r>
    </w:p>
  </w:footnote>
  <w:footnote w:id="19">
    <w:p w14:paraId="449CC6BD" w14:textId="3DE5CC56" w:rsidR="00F9140A" w:rsidRDefault="00F9140A">
      <w:pPr>
        <w:pStyle w:val="FootnoteText"/>
      </w:pPr>
      <w:r>
        <w:rPr>
          <w:rStyle w:val="FootnoteReference"/>
        </w:rPr>
        <w:footnoteRef/>
      </w:r>
      <w:r>
        <w:t xml:space="preserve"> Youth Justice Act (NT), s4(c)</w:t>
      </w:r>
    </w:p>
  </w:footnote>
  <w:footnote w:id="20">
    <w:p w14:paraId="5B3A6B11" w14:textId="77777777" w:rsidR="00CA136B" w:rsidRPr="00487EAB" w:rsidRDefault="00CA136B" w:rsidP="00CA136B">
      <w:pPr>
        <w:pStyle w:val="FootnoteText"/>
      </w:pPr>
      <w:r>
        <w:rPr>
          <w:rStyle w:val="FootnoteReference"/>
        </w:rPr>
        <w:footnoteRef/>
      </w:r>
      <w:r>
        <w:t xml:space="preserve"> Moskowitz, M. (2011, January 28). </w:t>
      </w:r>
      <w:r>
        <w:rPr>
          <w:i/>
        </w:rPr>
        <w:t>For Fully Mature Black Holes Time Stands Still</w:t>
      </w:r>
      <w:r>
        <w:t xml:space="preserve">. </w:t>
      </w:r>
      <w:r w:rsidRPr="00487EAB">
        <w:t>https://www.space.com/10702-black-hole-kerr-state-spacetime.html</w:t>
      </w:r>
    </w:p>
  </w:footnote>
  <w:footnote w:id="21">
    <w:p w14:paraId="46AB276A" w14:textId="15DF6593" w:rsidR="00A27656" w:rsidRDefault="00A27656">
      <w:pPr>
        <w:pStyle w:val="FootnoteText"/>
      </w:pPr>
      <w:r>
        <w:rPr>
          <w:rStyle w:val="FootnoteReference"/>
        </w:rPr>
        <w:footnoteRef/>
      </w:r>
      <w:r>
        <w:t xml:space="preserve"> </w:t>
      </w:r>
      <w:r w:rsidRPr="00A27656">
        <w:rPr>
          <w:rFonts w:asciiTheme="minorHAnsi" w:hAnsiTheme="minorHAnsi" w:cstheme="minorHAnsi"/>
          <w:i/>
          <w:iCs/>
          <w:color w:val="333333"/>
          <w:shd w:val="clear" w:color="auto" w:fill="FFFFFF"/>
        </w:rPr>
        <w:t>Williams v The Queen</w:t>
      </w:r>
      <w:r w:rsidRPr="00A27656">
        <w:rPr>
          <w:rFonts w:asciiTheme="minorHAnsi" w:hAnsiTheme="minorHAnsi" w:cstheme="minorHAnsi"/>
          <w:color w:val="333333"/>
          <w:shd w:val="clear" w:color="auto" w:fill="FFFFFF"/>
        </w:rPr>
        <w:t> </w:t>
      </w:r>
      <w:hyperlink r:id="rId1" w:tooltip="View Case" w:history="1">
        <w:r w:rsidRPr="0009392A">
          <w:rPr>
            <w:rStyle w:val="Hyperlink"/>
            <w:rFonts w:cstheme="minorHAnsi"/>
            <w:color w:val="auto"/>
            <w:u w:val="none"/>
            <w:shd w:val="clear" w:color="auto" w:fill="FFFFFF"/>
          </w:rPr>
          <w:t>[1986] HCA 88</w:t>
        </w:r>
      </w:hyperlink>
      <w:r w:rsidRPr="00A27656">
        <w:rPr>
          <w:rFonts w:asciiTheme="minorHAnsi" w:hAnsiTheme="minorHAnsi" w:cstheme="minorHAnsi"/>
          <w:color w:val="333333"/>
          <w:shd w:val="clear" w:color="auto" w:fill="FFFFFF"/>
        </w:rPr>
        <w:t>; (1986) 161 CLR 278 at 292‒294 per Mason and Brennan JJ, 305‒306 per Wilson and Dawson JJ</w:t>
      </w:r>
    </w:p>
  </w:footnote>
  <w:footnote w:id="22">
    <w:p w14:paraId="4CA97695" w14:textId="77777777" w:rsidR="00D43E41" w:rsidRDefault="00D43E41">
      <w:pPr>
        <w:pStyle w:val="FootnoteText"/>
      </w:pPr>
      <w:r>
        <w:rPr>
          <w:rStyle w:val="FootnoteReference"/>
        </w:rPr>
        <w:footnoteRef/>
      </w:r>
      <w:r>
        <w:t xml:space="preserve"> </w:t>
      </w:r>
      <w:r>
        <w:rPr>
          <w:i/>
        </w:rPr>
        <w:t xml:space="preserve">State of New South Wales v Bradford James Robinson </w:t>
      </w:r>
      <w:r>
        <w:t>[2019] HCA 46</w:t>
      </w:r>
    </w:p>
  </w:footnote>
  <w:footnote w:id="23">
    <w:p w14:paraId="1C3707A0" w14:textId="77777777" w:rsidR="001A4839" w:rsidRDefault="001A4839">
      <w:pPr>
        <w:pStyle w:val="FootnoteText"/>
      </w:pPr>
      <w:r>
        <w:rPr>
          <w:rStyle w:val="FootnoteReference"/>
        </w:rPr>
        <w:footnoteRef/>
      </w:r>
      <w:r>
        <w:t xml:space="preserve"> </w:t>
      </w:r>
      <w:proofErr w:type="spellStart"/>
      <w:r>
        <w:rPr>
          <w:rFonts w:ascii="Calibri,Italic" w:hAnsi="Calibri,Italic" w:cs="Calibri,Italic"/>
          <w:i/>
          <w:iCs/>
        </w:rPr>
        <w:t>Heiss</w:t>
      </w:r>
      <w:proofErr w:type="spellEnd"/>
      <w:r>
        <w:rPr>
          <w:rFonts w:ascii="Calibri,Italic" w:hAnsi="Calibri,Italic" w:cs="Calibri,Italic"/>
          <w:i/>
          <w:iCs/>
        </w:rPr>
        <w:t xml:space="preserve"> v The Queen; </w:t>
      </w:r>
      <w:proofErr w:type="spellStart"/>
      <w:r>
        <w:rPr>
          <w:rFonts w:ascii="Calibri,Italic" w:hAnsi="Calibri,Italic" w:cs="Calibri,Italic"/>
          <w:i/>
          <w:iCs/>
        </w:rPr>
        <w:t>Kamm</w:t>
      </w:r>
      <w:proofErr w:type="spellEnd"/>
      <w:r>
        <w:rPr>
          <w:rFonts w:ascii="Calibri,Italic" w:hAnsi="Calibri,Italic" w:cs="Calibri,Italic"/>
          <w:i/>
          <w:iCs/>
        </w:rPr>
        <w:t xml:space="preserve"> v The Queen </w:t>
      </w:r>
      <w:r>
        <w:rPr>
          <w:rFonts w:cs="Calibri"/>
        </w:rPr>
        <w:t xml:space="preserve">(1992) 2 NTLR 150 per Gallop, Martin and </w:t>
      </w:r>
      <w:proofErr w:type="spellStart"/>
      <w:r>
        <w:rPr>
          <w:rFonts w:cs="Calibri"/>
        </w:rPr>
        <w:t>Mildren</w:t>
      </w:r>
      <w:proofErr w:type="spellEnd"/>
      <w:r>
        <w:rPr>
          <w:rFonts w:cs="Calibri"/>
        </w:rPr>
        <w:t xml:space="preserve"> JJ at 168</w:t>
      </w:r>
    </w:p>
  </w:footnote>
  <w:footnote w:id="24">
    <w:p w14:paraId="062C4245" w14:textId="77777777" w:rsidR="00B03FDF" w:rsidRDefault="00B03FDF">
      <w:pPr>
        <w:pStyle w:val="FootnoteText"/>
      </w:pPr>
      <w:r>
        <w:rPr>
          <w:rStyle w:val="FootnoteReference"/>
        </w:rPr>
        <w:footnoteRef/>
      </w:r>
      <w:r>
        <w:t xml:space="preserve"> </w:t>
      </w:r>
      <w:r w:rsidRPr="001609D3">
        <w:rPr>
          <w:rFonts w:asciiTheme="minorHAnsi" w:hAnsiTheme="minorHAnsi" w:cstheme="minorHAnsi"/>
          <w:i/>
          <w:iCs/>
          <w:color w:val="333333"/>
          <w:shd w:val="clear" w:color="auto" w:fill="FFFFFF"/>
        </w:rPr>
        <w:t>Williams v The Queen</w:t>
      </w:r>
      <w:r w:rsidRPr="001609D3">
        <w:rPr>
          <w:rFonts w:asciiTheme="minorHAnsi" w:hAnsiTheme="minorHAnsi" w:cstheme="minorHAnsi"/>
          <w:color w:val="333333"/>
          <w:shd w:val="clear" w:color="auto" w:fill="FFFFFF"/>
        </w:rPr>
        <w:t xml:space="preserve"> (1986) 161 CLR 278 per Mason and Brennan JJ</w:t>
      </w:r>
    </w:p>
  </w:footnote>
  <w:footnote w:id="25">
    <w:p w14:paraId="6AF70CEF" w14:textId="33502702" w:rsidR="001D374A" w:rsidRPr="001D374A" w:rsidRDefault="001D374A">
      <w:pPr>
        <w:pStyle w:val="FootnoteText"/>
      </w:pPr>
      <w:r>
        <w:rPr>
          <w:rStyle w:val="FootnoteReference"/>
        </w:rPr>
        <w:footnoteRef/>
      </w:r>
      <w:r>
        <w:t xml:space="preserve"> </w:t>
      </w:r>
      <w:r w:rsidR="0009392A">
        <w:t xml:space="preserve">See </w:t>
      </w:r>
      <w:r>
        <w:rPr>
          <w:i/>
        </w:rPr>
        <w:t xml:space="preserve">Police Administration Act </w:t>
      </w:r>
      <w:r>
        <w:t>(NT) s137(3)</w:t>
      </w:r>
      <w:r w:rsidR="0009392A">
        <w:t xml:space="preserve"> which prescribes a ‘reasonable time’ to enable investigations to be undertaken by police</w:t>
      </w:r>
    </w:p>
  </w:footnote>
  <w:footnote w:id="26">
    <w:p w14:paraId="09A510EB" w14:textId="77777777" w:rsidR="00B842FB" w:rsidRDefault="00B842FB">
      <w:pPr>
        <w:pStyle w:val="FootnoteText"/>
      </w:pPr>
      <w:r>
        <w:rPr>
          <w:rStyle w:val="FootnoteReference"/>
        </w:rPr>
        <w:footnoteRef/>
      </w:r>
      <w:r>
        <w:t xml:space="preserve"> </w:t>
      </w:r>
      <w:r w:rsidRPr="00B842FB">
        <w:rPr>
          <w:i/>
        </w:rPr>
        <w:t>Law Enforcement (Powers and Responsibilities) Act</w:t>
      </w:r>
      <w:r>
        <w:t xml:space="preserve"> 2002 (NSW) s 115</w:t>
      </w:r>
    </w:p>
  </w:footnote>
  <w:footnote w:id="27">
    <w:p w14:paraId="07353606" w14:textId="77777777" w:rsidR="002D6BC6" w:rsidRPr="00B842FB" w:rsidRDefault="002D6BC6" w:rsidP="002D6BC6">
      <w:pPr>
        <w:pStyle w:val="FootnoteText"/>
        <w:rPr>
          <w:i/>
        </w:rPr>
      </w:pPr>
      <w:r>
        <w:rPr>
          <w:rStyle w:val="FootnoteReference"/>
        </w:rPr>
        <w:footnoteRef/>
      </w:r>
      <w:r>
        <w:t xml:space="preserve"> </w:t>
      </w:r>
      <w:r w:rsidRPr="00B842FB">
        <w:rPr>
          <w:i/>
        </w:rPr>
        <w:t>Summary Offences Act</w:t>
      </w:r>
      <w:r>
        <w:t xml:space="preserve"> 1953 (SA), s 78(2)</w:t>
      </w:r>
    </w:p>
  </w:footnote>
  <w:footnote w:id="28">
    <w:p w14:paraId="1C86C0C5" w14:textId="77777777" w:rsidR="0008501A" w:rsidRDefault="0008501A">
      <w:pPr>
        <w:pStyle w:val="FootnoteText"/>
      </w:pPr>
      <w:r>
        <w:rPr>
          <w:rStyle w:val="FootnoteReference"/>
        </w:rPr>
        <w:footnoteRef/>
      </w:r>
      <w:r>
        <w:t xml:space="preserve"> </w:t>
      </w:r>
      <w:r w:rsidRPr="0008501A">
        <w:rPr>
          <w:i/>
        </w:rPr>
        <w:t>Public Powers and Responsibilities Act</w:t>
      </w:r>
      <w:r>
        <w:t xml:space="preserve"> 2000 (Qld) ss 403, 404(a), 405.</w:t>
      </w:r>
    </w:p>
  </w:footnote>
  <w:footnote w:id="29">
    <w:p w14:paraId="7527611A" w14:textId="0DEE7767" w:rsidR="00C064AD" w:rsidRDefault="00C064AD">
      <w:pPr>
        <w:pStyle w:val="FootnoteText"/>
      </w:pPr>
      <w:r>
        <w:rPr>
          <w:rStyle w:val="FootnoteReference"/>
        </w:rPr>
        <w:footnoteRef/>
      </w:r>
      <w:r>
        <w:t xml:space="preserve"> </w:t>
      </w:r>
      <w:r w:rsidRPr="00C064AD">
        <w:rPr>
          <w:i/>
          <w:iCs/>
        </w:rPr>
        <w:t>Crimes Act</w:t>
      </w:r>
      <w:r>
        <w:t xml:space="preserve"> (</w:t>
      </w:r>
      <w:proofErr w:type="spellStart"/>
      <w:r>
        <w:t>Cth</w:t>
      </w:r>
      <w:proofErr w:type="spellEnd"/>
      <w:r>
        <w:t>), s23C</w:t>
      </w:r>
    </w:p>
  </w:footnote>
  <w:footnote w:id="30">
    <w:p w14:paraId="6031239D" w14:textId="77777777" w:rsidR="006877B0" w:rsidRPr="006877B0" w:rsidRDefault="006877B0">
      <w:pPr>
        <w:pStyle w:val="FootnoteText"/>
      </w:pPr>
      <w:r>
        <w:rPr>
          <w:rStyle w:val="FootnoteReference"/>
        </w:rPr>
        <w:footnoteRef/>
      </w:r>
      <w:r>
        <w:t xml:space="preserve"> </w:t>
      </w:r>
      <w:r>
        <w:rPr>
          <w:i/>
        </w:rPr>
        <w:t xml:space="preserve">Criminal Investigation Act </w:t>
      </w:r>
      <w:r>
        <w:t>(WA), s140</w:t>
      </w:r>
    </w:p>
  </w:footnote>
  <w:footnote w:id="31">
    <w:p w14:paraId="583029DB" w14:textId="3D2DFF6F" w:rsidR="008B5059" w:rsidRDefault="008B5059">
      <w:pPr>
        <w:pStyle w:val="FootnoteText"/>
      </w:pPr>
      <w:r>
        <w:rPr>
          <w:rStyle w:val="FootnoteReference"/>
        </w:rPr>
        <w:footnoteRef/>
      </w:r>
      <w:r>
        <w:t xml:space="preserve"> </w:t>
      </w:r>
      <w:r w:rsidR="0027263D">
        <w:t xml:space="preserve">Northern Territory, </w:t>
      </w:r>
      <w:r w:rsidR="009004D2" w:rsidRPr="0027263D">
        <w:rPr>
          <w:rFonts w:asciiTheme="minorHAnsi" w:hAnsiTheme="minorHAnsi" w:cstheme="minorHAnsi"/>
        </w:rPr>
        <w:t>Royal Commission into Youth Detention and Child Protection</w:t>
      </w:r>
      <w:r w:rsidR="0027263D">
        <w:rPr>
          <w:rFonts w:asciiTheme="minorHAnsi" w:hAnsiTheme="minorHAnsi" w:cstheme="minorHAnsi"/>
        </w:rPr>
        <w:t xml:space="preserve"> in the Northern Territory</w:t>
      </w:r>
      <w:r w:rsidR="009004D2" w:rsidRPr="009004D2">
        <w:rPr>
          <w:rFonts w:asciiTheme="minorHAnsi" w:hAnsiTheme="minorHAnsi" w:cstheme="minorHAnsi"/>
        </w:rPr>
        <w:t xml:space="preserve"> (201</w:t>
      </w:r>
      <w:r w:rsidR="00153523">
        <w:rPr>
          <w:rFonts w:asciiTheme="minorHAnsi" w:hAnsiTheme="minorHAnsi" w:cstheme="minorHAnsi"/>
        </w:rPr>
        <w:t>7</w:t>
      </w:r>
      <w:r w:rsidR="009004D2" w:rsidRPr="009004D2">
        <w:rPr>
          <w:rFonts w:asciiTheme="minorHAnsi" w:hAnsiTheme="minorHAnsi" w:cstheme="minorHAnsi"/>
        </w:rPr>
        <w:t xml:space="preserve">) </w:t>
      </w:r>
      <w:r w:rsidRPr="009004D2">
        <w:rPr>
          <w:rFonts w:asciiTheme="minorHAnsi" w:hAnsiTheme="minorHAnsi" w:cstheme="minorHAnsi"/>
        </w:rPr>
        <w:t>Volume 2B, p237</w:t>
      </w:r>
    </w:p>
  </w:footnote>
  <w:footnote w:id="32">
    <w:p w14:paraId="4AC29F02" w14:textId="77777777" w:rsidR="008B5059" w:rsidRDefault="008B5059">
      <w:pPr>
        <w:pStyle w:val="FootnoteText"/>
      </w:pPr>
      <w:r>
        <w:rPr>
          <w:rStyle w:val="FootnoteReference"/>
        </w:rPr>
        <w:footnoteRef/>
      </w:r>
      <w:r>
        <w:t xml:space="preserve"> Recommendation 25.3</w:t>
      </w:r>
    </w:p>
  </w:footnote>
  <w:footnote w:id="33">
    <w:p w14:paraId="275AF183" w14:textId="77777777" w:rsidR="008B5059" w:rsidRPr="008B5059" w:rsidRDefault="008B5059">
      <w:pPr>
        <w:pStyle w:val="FootnoteText"/>
      </w:pPr>
      <w:r>
        <w:rPr>
          <w:rStyle w:val="FootnoteReference"/>
        </w:rPr>
        <w:footnoteRef/>
      </w:r>
      <w:r>
        <w:t xml:space="preserve"> </w:t>
      </w:r>
      <w:r>
        <w:rPr>
          <w:i/>
        </w:rPr>
        <w:t xml:space="preserve">Police Administration Act </w:t>
      </w:r>
      <w:r>
        <w:t xml:space="preserve">(NT), </w:t>
      </w:r>
      <w:r w:rsidR="000B5C54">
        <w:t>s</w:t>
      </w:r>
      <w:r>
        <w:t>137(4)</w:t>
      </w:r>
    </w:p>
  </w:footnote>
  <w:footnote w:id="34">
    <w:p w14:paraId="312D84C0" w14:textId="77777777" w:rsidR="00C11DFF" w:rsidRDefault="00C11DFF" w:rsidP="00C11DFF">
      <w:pPr>
        <w:pStyle w:val="FootnoteText"/>
      </w:pPr>
      <w:r>
        <w:rPr>
          <w:rStyle w:val="FootnoteReference"/>
        </w:rPr>
        <w:footnoteRef/>
      </w:r>
      <w:r>
        <w:t xml:space="preserve"> </w:t>
      </w:r>
      <w:r w:rsidRPr="00EC0AFC">
        <w:t>https://www.nasa.gov/mediacast/inside-a-black-hole</w:t>
      </w:r>
    </w:p>
  </w:footnote>
  <w:footnote w:id="35">
    <w:p w14:paraId="475EA66C" w14:textId="1D3B9E0A" w:rsidR="0027263D" w:rsidRDefault="0027263D">
      <w:pPr>
        <w:pStyle w:val="FootnoteText"/>
      </w:pPr>
      <w:r>
        <w:rPr>
          <w:rStyle w:val="FootnoteReference"/>
        </w:rPr>
        <w:footnoteRef/>
      </w:r>
      <w:r>
        <w:t xml:space="preserve"> </w:t>
      </w:r>
      <w:r w:rsidRPr="00AE3DEF">
        <w:rPr>
          <w:rFonts w:asciiTheme="minorHAnsi" w:hAnsiTheme="minorHAnsi" w:cstheme="minorHAnsi"/>
          <w:color w:val="000000"/>
          <w:spacing w:val="2"/>
          <w:shd w:val="clear" w:color="auto" w:fill="FFFFFF"/>
        </w:rPr>
        <w:t>Northern Territory, Royal Commission into Youth Detention and Child Protection in the Northern Territory, </w:t>
      </w:r>
      <w:r w:rsidRPr="00AE3DEF">
        <w:rPr>
          <w:rStyle w:val="Emphasis"/>
          <w:rFonts w:asciiTheme="minorHAnsi" w:hAnsiTheme="minorHAnsi" w:cstheme="minorHAnsi"/>
          <w:color w:val="000000"/>
          <w:spacing w:val="2"/>
          <w:bdr w:val="none" w:sz="0" w:space="0" w:color="auto" w:frame="1"/>
          <w:shd w:val="clear" w:color="auto" w:fill="FFFFFF"/>
        </w:rPr>
        <w:t>Final Report</w:t>
      </w:r>
      <w:r w:rsidRPr="00AE3DEF">
        <w:rPr>
          <w:rFonts w:asciiTheme="minorHAnsi" w:hAnsiTheme="minorHAnsi" w:cstheme="minorHAnsi"/>
          <w:color w:val="000000"/>
          <w:spacing w:val="2"/>
          <w:shd w:val="clear" w:color="auto" w:fill="FFFFFF"/>
        </w:rPr>
        <w:t> (2017).  Findings and Recommendations.</w:t>
      </w:r>
    </w:p>
  </w:footnote>
  <w:footnote w:id="36">
    <w:p w14:paraId="37D23E08" w14:textId="77777777" w:rsidR="00586A89" w:rsidRDefault="00586A89" w:rsidP="00586A89">
      <w:pPr>
        <w:pStyle w:val="FootnoteText"/>
      </w:pPr>
      <w:r>
        <w:rPr>
          <w:rStyle w:val="FootnoteReference"/>
        </w:rPr>
        <w:footnoteRef/>
      </w:r>
      <w:r>
        <w:t xml:space="preserve"> </w:t>
      </w:r>
      <w:r w:rsidRPr="00A672DB">
        <w:t>https://www.sbs.com.au/nitv/article/2021/05/12/outrage-and-protest-controversial-youth-laws-pass-nt-parliament</w:t>
      </w:r>
    </w:p>
  </w:footnote>
  <w:footnote w:id="37">
    <w:p w14:paraId="2CC70AA6" w14:textId="6AF046A3" w:rsidR="0027263D" w:rsidRDefault="0027263D" w:rsidP="0027263D">
      <w:pPr>
        <w:pStyle w:val="FootnoteText"/>
      </w:pPr>
      <w:r>
        <w:rPr>
          <w:rStyle w:val="FootnoteReference"/>
        </w:rPr>
        <w:footnoteRef/>
      </w:r>
      <w:r>
        <w:t xml:space="preserve"> </w:t>
      </w:r>
      <w:r w:rsidRPr="001E62E6">
        <w:rPr>
          <w:i/>
        </w:rPr>
        <w:t>Youth Justice Legislation Amendment Act</w:t>
      </w:r>
      <w:r>
        <w:t xml:space="preserve"> 2021 (NT</w:t>
      </w:r>
    </w:p>
  </w:footnote>
  <w:footnote w:id="38">
    <w:p w14:paraId="4F60C389" w14:textId="45BF1EB9" w:rsidR="00586A89" w:rsidRDefault="00586A89" w:rsidP="00586A89">
      <w:pPr>
        <w:pStyle w:val="FootnoteText"/>
      </w:pPr>
      <w:r>
        <w:rPr>
          <w:rStyle w:val="FootnoteReference"/>
        </w:rPr>
        <w:footnoteRef/>
      </w:r>
      <w:r>
        <w:t xml:space="preserve"> </w:t>
      </w:r>
      <w:r w:rsidRPr="00E35DF4">
        <w:rPr>
          <w:i/>
        </w:rPr>
        <w:t xml:space="preserve">Youth Justice Act </w:t>
      </w:r>
      <w:r>
        <w:t>(NT), s22(3)</w:t>
      </w:r>
      <w:r w:rsidR="009004D2">
        <w:t xml:space="preserve">. Note </w:t>
      </w:r>
      <w:r w:rsidR="00C609B2">
        <w:t xml:space="preserve">a </w:t>
      </w:r>
      <w:proofErr w:type="gramStart"/>
      <w:r w:rsidR="00C609B2">
        <w:t>full list offences</w:t>
      </w:r>
      <w:proofErr w:type="gramEnd"/>
      <w:r w:rsidR="00C609B2">
        <w:t xml:space="preserve"> is found at </w:t>
      </w:r>
      <w:r w:rsidR="00211D66">
        <w:t xml:space="preserve">2A of the </w:t>
      </w:r>
      <w:r w:rsidR="00211D66" w:rsidRPr="00211D66">
        <w:rPr>
          <w:i/>
          <w:iCs/>
        </w:rPr>
        <w:t xml:space="preserve">Bail Regulations </w:t>
      </w:r>
      <w:r w:rsidR="00211D66">
        <w:t>(NT)</w:t>
      </w:r>
    </w:p>
  </w:footnote>
  <w:footnote w:id="39">
    <w:p w14:paraId="4E3A5010" w14:textId="77777777" w:rsidR="00586A89" w:rsidRPr="00E35DF4" w:rsidRDefault="00586A89" w:rsidP="00586A89">
      <w:pPr>
        <w:pStyle w:val="FootnoteText"/>
      </w:pPr>
      <w:r>
        <w:rPr>
          <w:rStyle w:val="FootnoteReference"/>
        </w:rPr>
        <w:footnoteRef/>
      </w:r>
      <w:r>
        <w:t xml:space="preserve"> </w:t>
      </w:r>
      <w:r>
        <w:rPr>
          <w:i/>
        </w:rPr>
        <w:t xml:space="preserve">Bail Act </w:t>
      </w:r>
      <w:r>
        <w:t>(NT), s7B</w:t>
      </w:r>
    </w:p>
  </w:footnote>
  <w:footnote w:id="40">
    <w:p w14:paraId="6E3EDF94" w14:textId="77777777" w:rsidR="0030575F" w:rsidRPr="00B15EC2" w:rsidRDefault="0030575F" w:rsidP="0030575F">
      <w:pPr>
        <w:pStyle w:val="FootnoteText"/>
      </w:pPr>
      <w:r>
        <w:rPr>
          <w:rStyle w:val="FootnoteReference"/>
        </w:rPr>
        <w:footnoteRef/>
      </w:r>
      <w:r>
        <w:t xml:space="preserve"> </w:t>
      </w:r>
      <w:r>
        <w:rPr>
          <w:i/>
        </w:rPr>
        <w:t xml:space="preserve">Bail Act </w:t>
      </w:r>
      <w:r>
        <w:t>(NT), s33(7)</w:t>
      </w:r>
    </w:p>
  </w:footnote>
  <w:footnote w:id="41">
    <w:p w14:paraId="7D142EB7" w14:textId="77777777" w:rsidR="0030575F" w:rsidRDefault="0030575F" w:rsidP="0030575F">
      <w:pPr>
        <w:pStyle w:val="FootnoteText"/>
      </w:pPr>
      <w:r>
        <w:rPr>
          <w:rStyle w:val="FootnoteReference"/>
        </w:rPr>
        <w:footnoteRef/>
      </w:r>
      <w:r>
        <w:t xml:space="preserve"> Ibid s24(1)(b) </w:t>
      </w:r>
    </w:p>
  </w:footnote>
  <w:footnote w:id="42">
    <w:p w14:paraId="2C9998E4" w14:textId="371BECA8" w:rsidR="00F918E9" w:rsidRPr="00F918E9" w:rsidRDefault="00F918E9">
      <w:pPr>
        <w:pStyle w:val="FootnoteText"/>
      </w:pPr>
      <w:r>
        <w:rPr>
          <w:rStyle w:val="FootnoteReference"/>
        </w:rPr>
        <w:footnoteRef/>
      </w:r>
      <w:r>
        <w:t xml:space="preserve"> </w:t>
      </w:r>
      <w:r w:rsidR="009004D2">
        <w:rPr>
          <w:i/>
          <w:iCs/>
        </w:rPr>
        <w:t xml:space="preserve">Police Administration Act </w:t>
      </w:r>
      <w:r w:rsidR="009004D2">
        <w:t>(NT),</w:t>
      </w:r>
      <w:r>
        <w:t xml:space="preserve"> s135</w:t>
      </w:r>
    </w:p>
  </w:footnote>
  <w:footnote w:id="43">
    <w:p w14:paraId="66EFE3A3" w14:textId="77777777" w:rsidR="007D78D5" w:rsidRDefault="007D78D5">
      <w:pPr>
        <w:pStyle w:val="FootnoteText"/>
      </w:pPr>
      <w:r>
        <w:rPr>
          <w:rStyle w:val="FootnoteReference"/>
        </w:rPr>
        <w:footnoteRef/>
      </w:r>
      <w:r>
        <w:t xml:space="preserve"> </w:t>
      </w:r>
      <w:r w:rsidRPr="007D78D5">
        <w:rPr>
          <w:rFonts w:ascii="Arial" w:eastAsia="Times New Roman" w:hAnsi="Arial" w:cs="Arial"/>
          <w:i/>
          <w:sz w:val="18"/>
          <w:szCs w:val="18"/>
        </w:rPr>
        <w:t>Police Powers and Responsibilities Act</w:t>
      </w:r>
      <w:r>
        <w:rPr>
          <w:rFonts w:ascii="Arial" w:eastAsia="Times New Roman" w:hAnsi="Arial" w:cs="Arial"/>
          <w:sz w:val="18"/>
          <w:szCs w:val="18"/>
        </w:rPr>
        <w:t xml:space="preserve"> </w:t>
      </w:r>
      <w:r w:rsidRPr="00220917">
        <w:rPr>
          <w:rFonts w:ascii="Arial" w:eastAsia="Times New Roman" w:hAnsi="Arial" w:cs="Arial"/>
          <w:sz w:val="18"/>
          <w:szCs w:val="18"/>
        </w:rPr>
        <w:t>2000</w:t>
      </w:r>
      <w:r>
        <w:rPr>
          <w:rFonts w:ascii="Arial" w:eastAsia="Times New Roman" w:hAnsi="Arial" w:cs="Arial"/>
          <w:sz w:val="18"/>
          <w:szCs w:val="18"/>
        </w:rPr>
        <w:t xml:space="preserve"> (QLD), s</w:t>
      </w:r>
      <w:r w:rsidR="000B5C54">
        <w:rPr>
          <w:rFonts w:ascii="Arial" w:eastAsia="Times New Roman" w:hAnsi="Arial" w:cs="Arial"/>
          <w:sz w:val="18"/>
          <w:szCs w:val="18"/>
        </w:rPr>
        <w:t>420(2)</w:t>
      </w:r>
    </w:p>
  </w:footnote>
  <w:footnote w:id="44">
    <w:p w14:paraId="1BFCD522" w14:textId="77777777" w:rsidR="000B5C54" w:rsidRDefault="000B5C54">
      <w:pPr>
        <w:pStyle w:val="FootnoteText"/>
      </w:pPr>
      <w:r>
        <w:rPr>
          <w:rStyle w:val="FootnoteReference"/>
        </w:rPr>
        <w:footnoteRef/>
      </w:r>
      <w:r>
        <w:t xml:space="preserve"> Ibid, s420(4)</w:t>
      </w:r>
    </w:p>
  </w:footnote>
  <w:footnote w:id="45">
    <w:p w14:paraId="4D8948ED" w14:textId="77777777" w:rsidR="000B5C54" w:rsidRDefault="000B5C54">
      <w:pPr>
        <w:pStyle w:val="FootnoteText"/>
      </w:pPr>
      <w:r>
        <w:rPr>
          <w:rStyle w:val="FootnoteReference"/>
        </w:rPr>
        <w:footnoteRef/>
      </w:r>
      <w:r>
        <w:t xml:space="preserve"> </w:t>
      </w:r>
      <w:r w:rsidRPr="000B5C54">
        <w:rPr>
          <w:rFonts w:asciiTheme="minorHAnsi" w:eastAsia="Times New Roman" w:hAnsiTheme="minorHAnsi" w:cs="Arial"/>
          <w:i/>
        </w:rPr>
        <w:t>Law Enforcement (Powers and Responsibilities) Regulations</w:t>
      </w:r>
      <w:r w:rsidRPr="000B5C54">
        <w:rPr>
          <w:rFonts w:asciiTheme="minorHAnsi" w:eastAsia="Times New Roman" w:hAnsiTheme="minorHAnsi" w:cs="Arial"/>
        </w:rPr>
        <w:t xml:space="preserve"> 2016</w:t>
      </w:r>
      <w:r>
        <w:rPr>
          <w:rFonts w:asciiTheme="minorHAnsi" w:eastAsia="Times New Roman" w:hAnsiTheme="minorHAnsi" w:cs="Arial"/>
        </w:rPr>
        <w:t>, R37</w:t>
      </w:r>
    </w:p>
  </w:footnote>
  <w:footnote w:id="46">
    <w:p w14:paraId="26BF8231" w14:textId="77777777" w:rsidR="000B5C54" w:rsidRPr="000B5C54" w:rsidRDefault="000B5C54">
      <w:pPr>
        <w:pStyle w:val="FootnoteText"/>
      </w:pPr>
      <w:r>
        <w:rPr>
          <w:rStyle w:val="FootnoteReference"/>
        </w:rPr>
        <w:footnoteRef/>
      </w:r>
      <w:r>
        <w:t xml:space="preserve"> </w:t>
      </w:r>
      <w:r>
        <w:rPr>
          <w:i/>
        </w:rPr>
        <w:t xml:space="preserve">Law Enforcement (Powers and Responsibilities) Act </w:t>
      </w:r>
      <w:r>
        <w:t>(NSW), s123(1)</w:t>
      </w:r>
    </w:p>
  </w:footnote>
  <w:footnote w:id="47">
    <w:p w14:paraId="1BF26054" w14:textId="4C1404B6" w:rsidR="00FA6FF8" w:rsidRPr="00FA6FF8" w:rsidRDefault="00FA6FF8">
      <w:pPr>
        <w:pStyle w:val="FootnoteText"/>
      </w:pPr>
      <w:r>
        <w:rPr>
          <w:rStyle w:val="FootnoteReference"/>
        </w:rPr>
        <w:footnoteRef/>
      </w:r>
      <w:r>
        <w:t xml:space="preserve"> </w:t>
      </w:r>
      <w:r>
        <w:rPr>
          <w:i/>
        </w:rPr>
        <w:t xml:space="preserve">Police Force Regulation </w:t>
      </w:r>
      <w:r>
        <w:t>(WA), R703</w:t>
      </w:r>
      <w:r w:rsidR="009004D2">
        <w:t xml:space="preserve"> and</w:t>
      </w:r>
      <w:r>
        <w:t xml:space="preserve"> </w:t>
      </w:r>
      <w:r>
        <w:rPr>
          <w:i/>
        </w:rPr>
        <w:t xml:space="preserve">Criminal Investigation Act </w:t>
      </w:r>
      <w:r>
        <w:t>(WA), s138(</w:t>
      </w:r>
      <w:proofErr w:type="gramStart"/>
      <w:r>
        <w:t>2)&amp;</w:t>
      </w:r>
      <w:proofErr w:type="gramEnd"/>
      <w:r>
        <w:t>(3)</w:t>
      </w:r>
    </w:p>
  </w:footnote>
  <w:footnote w:id="48">
    <w:p w14:paraId="3C6637C7" w14:textId="77777777" w:rsidR="00D57BE9" w:rsidRDefault="00D57BE9">
      <w:pPr>
        <w:pStyle w:val="FootnoteText"/>
      </w:pPr>
      <w:r>
        <w:rPr>
          <w:rStyle w:val="FootnoteReference"/>
        </w:rPr>
        <w:footnoteRef/>
      </w:r>
      <w:r>
        <w:t xml:space="preserve"> </w:t>
      </w:r>
      <w:r w:rsidRPr="009004D2">
        <w:rPr>
          <w:i/>
          <w:iCs/>
        </w:rPr>
        <w:t>Crimes Act</w:t>
      </w:r>
      <w:r>
        <w:t xml:space="preserve"> (</w:t>
      </w:r>
      <w:proofErr w:type="spellStart"/>
      <w:r>
        <w:t>Cth</w:t>
      </w:r>
      <w:proofErr w:type="spellEnd"/>
      <w:r>
        <w:t>), s23</w:t>
      </w:r>
      <w:proofErr w:type="gramStart"/>
      <w:r>
        <w:t>H(</w:t>
      </w:r>
      <w:proofErr w:type="gramEnd"/>
      <w:r>
        <w:t>1)</w:t>
      </w:r>
    </w:p>
  </w:footnote>
  <w:footnote w:id="49">
    <w:p w14:paraId="3876AF26" w14:textId="77777777" w:rsidR="00D57BE9" w:rsidRDefault="00D57BE9">
      <w:pPr>
        <w:pStyle w:val="FootnoteText"/>
      </w:pPr>
      <w:r>
        <w:rPr>
          <w:rStyle w:val="FootnoteReference"/>
        </w:rPr>
        <w:footnoteRef/>
      </w:r>
      <w:r>
        <w:t xml:space="preserve"> Ibid, s23H(1AB)</w:t>
      </w:r>
    </w:p>
  </w:footnote>
  <w:footnote w:id="50">
    <w:p w14:paraId="3C2A2730" w14:textId="77777777" w:rsidR="00D57BE9" w:rsidRDefault="00D57BE9">
      <w:pPr>
        <w:pStyle w:val="FootnoteText"/>
      </w:pPr>
      <w:r>
        <w:rPr>
          <w:rStyle w:val="FootnoteReference"/>
        </w:rPr>
        <w:footnoteRef/>
      </w:r>
      <w:r>
        <w:t xml:space="preserve"> Ibid, s23</w:t>
      </w:r>
      <w:proofErr w:type="gramStart"/>
      <w:r>
        <w:t>H(</w:t>
      </w:r>
      <w:proofErr w:type="gramEnd"/>
      <w:r>
        <w:t>2)</w:t>
      </w:r>
    </w:p>
  </w:footnote>
  <w:footnote w:id="51">
    <w:p w14:paraId="382E22DF" w14:textId="77777777" w:rsidR="00FA6FF8" w:rsidRPr="00FA6FF8" w:rsidRDefault="00FA6FF8">
      <w:pPr>
        <w:pStyle w:val="FootnoteText"/>
      </w:pPr>
      <w:r>
        <w:rPr>
          <w:rStyle w:val="FootnoteReference"/>
        </w:rPr>
        <w:footnoteRef/>
      </w:r>
      <w:r>
        <w:t xml:space="preserve"> </w:t>
      </w:r>
      <w:r>
        <w:rPr>
          <w:i/>
        </w:rPr>
        <w:t xml:space="preserve">Summary Offences Act </w:t>
      </w:r>
      <w:r>
        <w:t>(SA), s79(1)(b)(</w:t>
      </w:r>
      <w:proofErr w:type="spellStart"/>
      <w:r>
        <w:t>i</w:t>
      </w:r>
      <w:proofErr w:type="spellEnd"/>
      <w:r>
        <w:t>)</w:t>
      </w:r>
    </w:p>
  </w:footnote>
  <w:footnote w:id="52">
    <w:p w14:paraId="5CFC94F5" w14:textId="77777777" w:rsidR="00A014A9" w:rsidRPr="00A014A9" w:rsidRDefault="00A014A9">
      <w:pPr>
        <w:pStyle w:val="FootnoteText"/>
      </w:pPr>
      <w:r>
        <w:rPr>
          <w:rStyle w:val="FootnoteReference"/>
        </w:rPr>
        <w:footnoteRef/>
      </w:r>
      <w:r>
        <w:t xml:space="preserve"> </w:t>
      </w:r>
      <w:r>
        <w:rPr>
          <w:i/>
        </w:rPr>
        <w:t xml:space="preserve">Crimes Act </w:t>
      </w:r>
      <w:r>
        <w:t>(Vic), s464FA</w:t>
      </w:r>
    </w:p>
  </w:footnote>
  <w:footnote w:id="53">
    <w:p w14:paraId="60EB73F0" w14:textId="77777777" w:rsidR="00A014A9" w:rsidRPr="00A014A9" w:rsidRDefault="00A014A9">
      <w:pPr>
        <w:pStyle w:val="FootnoteText"/>
      </w:pPr>
      <w:r>
        <w:rPr>
          <w:rStyle w:val="FootnoteReference"/>
        </w:rPr>
        <w:footnoteRef/>
      </w:r>
      <w:r>
        <w:t xml:space="preserve"> </w:t>
      </w:r>
      <w:r>
        <w:rPr>
          <w:i/>
        </w:rPr>
        <w:t xml:space="preserve">Crimes Act </w:t>
      </w:r>
      <w:r>
        <w:t>(Vic), s464</w:t>
      </w:r>
      <w:proofErr w:type="gramStart"/>
      <w:r>
        <w:t>C(</w:t>
      </w:r>
      <w:proofErr w:type="gramEnd"/>
      <w:r>
        <w:t>1)</w:t>
      </w:r>
    </w:p>
  </w:footnote>
  <w:footnote w:id="54">
    <w:p w14:paraId="43CB9E78" w14:textId="77777777" w:rsidR="00001229" w:rsidRPr="00001229" w:rsidRDefault="00001229">
      <w:pPr>
        <w:pStyle w:val="FootnoteText"/>
      </w:pPr>
      <w:r>
        <w:rPr>
          <w:rStyle w:val="FootnoteReference"/>
        </w:rPr>
        <w:footnoteRef/>
      </w:r>
      <w:r>
        <w:t xml:space="preserve"> </w:t>
      </w:r>
      <w:r>
        <w:rPr>
          <w:i/>
        </w:rPr>
        <w:t xml:space="preserve">Criminal Law (Detention and Interrogation) Act </w:t>
      </w:r>
      <w:r>
        <w:t>(Tas), s6</w:t>
      </w:r>
    </w:p>
  </w:footnote>
  <w:footnote w:id="55">
    <w:p w14:paraId="4C684C6A" w14:textId="77777777" w:rsidR="000B174B" w:rsidRDefault="000B174B" w:rsidP="000B174B">
      <w:pPr>
        <w:pStyle w:val="FootnoteText"/>
      </w:pPr>
      <w:r>
        <w:rPr>
          <w:rStyle w:val="FootnoteReference"/>
        </w:rPr>
        <w:footnoteRef/>
      </w:r>
      <w:r>
        <w:t xml:space="preserve"> </w:t>
      </w:r>
      <w:r w:rsidRPr="00E17442">
        <w:t>https://profile.id.com.au/australia/language?WebID=160&amp;BMID=10</w:t>
      </w:r>
    </w:p>
  </w:footnote>
  <w:footnote w:id="56">
    <w:p w14:paraId="584864EF" w14:textId="77777777" w:rsidR="000B174B" w:rsidRPr="009004D2" w:rsidRDefault="000B174B" w:rsidP="000B174B">
      <w:pPr>
        <w:rPr>
          <w:rFonts w:asciiTheme="minorHAnsi" w:hAnsiTheme="minorHAnsi" w:cstheme="minorHAnsi"/>
          <w:sz w:val="20"/>
          <w:szCs w:val="20"/>
        </w:rPr>
      </w:pPr>
      <w:r>
        <w:rPr>
          <w:rStyle w:val="FootnoteReference"/>
        </w:rPr>
        <w:footnoteRef/>
      </w:r>
      <w:r>
        <w:t xml:space="preserve"> </w:t>
      </w:r>
      <w:hyperlink r:id="rId2" w:tooltip="Go to Pathways to Justice–Inquiry into the Incarceration Rate of Aboriginal and Torres Strait Islander Peoples (ALRC Report 133)." w:history="1">
        <w:r w:rsidRPr="00371108">
          <w:rPr>
            <w:rStyle w:val="Hyperlink"/>
            <w:rFonts w:asciiTheme="minorHAnsi" w:hAnsiTheme="minorHAnsi" w:cstheme="minorHAnsi"/>
            <w:color w:val="auto"/>
            <w:spacing w:val="2"/>
            <w:sz w:val="20"/>
            <w:szCs w:val="20"/>
            <w:u w:val="none"/>
          </w:rPr>
          <w:t>Pathways to Justice–Inquiry into the Incarceration Rate of Aboriginal and Torres Strait Islander Peoples (ALRC Report 133)</w:t>
        </w:r>
      </w:hyperlink>
      <w:r w:rsidRPr="00371108">
        <w:rPr>
          <w:rFonts w:asciiTheme="minorHAnsi" w:hAnsiTheme="minorHAnsi" w:cstheme="minorHAnsi"/>
          <w:color w:val="000000"/>
          <w:spacing w:val="2"/>
          <w:sz w:val="20"/>
          <w:szCs w:val="20"/>
        </w:rPr>
        <w:t xml:space="preserve"> at 10.10 citing L Bartels, ‘Police Interviews with Vulnerable Suspects’ (Research in Practice Report No 21, Australian Institute of Criminology, July 2011) 4</w:t>
      </w:r>
    </w:p>
  </w:footnote>
  <w:footnote w:id="57">
    <w:p w14:paraId="6C550A46" w14:textId="77777777" w:rsidR="000B174B" w:rsidRDefault="000B174B" w:rsidP="000B174B">
      <w:pPr>
        <w:pStyle w:val="FootnoteText"/>
      </w:pPr>
      <w:r>
        <w:rPr>
          <w:rStyle w:val="FootnoteReference"/>
        </w:rPr>
        <w:footnoteRef/>
      </w:r>
      <w:r>
        <w:t xml:space="preserve"> </w:t>
      </w:r>
      <w:r w:rsidRPr="00C57FBE">
        <w:t>https://cmc.nt.gov.au/aboriginal-affairs/aboriginal-interpreter-service/aboriginal-language-police-cautions-aboriginal-interpreter-service</w:t>
      </w:r>
    </w:p>
  </w:footnote>
  <w:footnote w:id="58">
    <w:p w14:paraId="271A2FE2" w14:textId="49B47936" w:rsidR="00BC0307" w:rsidRDefault="00BC0307">
      <w:pPr>
        <w:pStyle w:val="FootnoteText"/>
      </w:pPr>
      <w:r>
        <w:rPr>
          <w:rStyle w:val="FootnoteReference"/>
        </w:rPr>
        <w:footnoteRef/>
      </w:r>
      <w:r>
        <w:t xml:space="preserve"> Commonwealth, Royal Commission into Aboriginal Deaths in Custody, Final Report, (1991) Volume 1 at 1.3</w:t>
      </w:r>
    </w:p>
  </w:footnote>
  <w:footnote w:id="59">
    <w:p w14:paraId="0E52F16C" w14:textId="59791616" w:rsidR="002619E4" w:rsidRPr="009F528E" w:rsidRDefault="002619E4">
      <w:pPr>
        <w:pStyle w:val="FootnoteText"/>
        <w:rPr>
          <w:rFonts w:asciiTheme="minorHAnsi" w:hAnsiTheme="minorHAnsi" w:cstheme="minorHAnsi"/>
        </w:rPr>
      </w:pPr>
      <w:r w:rsidRPr="009F528E">
        <w:rPr>
          <w:rStyle w:val="FootnoteReference"/>
          <w:rFonts w:asciiTheme="minorHAnsi" w:hAnsiTheme="minorHAnsi" w:cstheme="minorHAnsi"/>
        </w:rPr>
        <w:footnoteRef/>
      </w:r>
      <w:r w:rsidRPr="009F528E">
        <w:rPr>
          <w:rFonts w:asciiTheme="minorHAnsi" w:hAnsiTheme="minorHAnsi" w:cstheme="minorHAnsi"/>
        </w:rPr>
        <w:t xml:space="preserve"> </w:t>
      </w:r>
      <w:r w:rsidR="00CE106B">
        <w:rPr>
          <w:rFonts w:asciiTheme="minorHAnsi" w:hAnsiTheme="minorHAnsi" w:cstheme="minorHAnsi"/>
        </w:rPr>
        <w:t>Ibid, Volume 5, R</w:t>
      </w:r>
      <w:r w:rsidRPr="009F528E">
        <w:rPr>
          <w:rFonts w:asciiTheme="minorHAnsi" w:hAnsiTheme="minorHAnsi" w:cstheme="minorHAnsi"/>
        </w:rPr>
        <w:t>ecommendation 223</w:t>
      </w:r>
    </w:p>
  </w:footnote>
  <w:footnote w:id="60">
    <w:p w14:paraId="1F047F8F" w14:textId="454C990B" w:rsidR="00427B96" w:rsidRPr="009F528E" w:rsidRDefault="00427B96">
      <w:pPr>
        <w:pStyle w:val="FootnoteText"/>
        <w:rPr>
          <w:rFonts w:asciiTheme="minorHAnsi" w:hAnsiTheme="minorHAnsi" w:cstheme="minorHAnsi"/>
        </w:rPr>
      </w:pPr>
      <w:r w:rsidRPr="009F528E">
        <w:rPr>
          <w:rStyle w:val="FootnoteReference"/>
          <w:rFonts w:asciiTheme="minorHAnsi" w:hAnsiTheme="minorHAnsi" w:cstheme="minorHAnsi"/>
        </w:rPr>
        <w:footnoteRef/>
      </w:r>
      <w:r w:rsidRPr="009F528E">
        <w:rPr>
          <w:rFonts w:asciiTheme="minorHAnsi" w:hAnsiTheme="minorHAnsi" w:cstheme="minorHAnsi"/>
        </w:rPr>
        <w:t xml:space="preserve"> </w:t>
      </w:r>
      <w:hyperlink r:id="rId3" w:tooltip="Go to Pathways to Justice–Inquiry into the Incarceration Rate of Aboriginal and Torres Strait Islander Peoples (ALRC Report 133)." w:history="1">
        <w:r w:rsidR="00B65A97" w:rsidRPr="00371108">
          <w:rPr>
            <w:rStyle w:val="Hyperlink"/>
            <w:rFonts w:asciiTheme="minorHAnsi" w:hAnsiTheme="minorHAnsi" w:cstheme="minorHAnsi"/>
            <w:color w:val="auto"/>
            <w:spacing w:val="2"/>
            <w:u w:val="none"/>
          </w:rPr>
          <w:t>Pathways to Justice–Inquiry into the Incarceration Rate of Aboriginal and Torres Strait Islander Peoples (ALRC Report 133)</w:t>
        </w:r>
      </w:hyperlink>
      <w:r w:rsidR="00B65A97" w:rsidRPr="00371108">
        <w:rPr>
          <w:rFonts w:asciiTheme="minorHAnsi" w:hAnsiTheme="minorHAnsi" w:cstheme="minorHAnsi"/>
          <w:color w:val="000000"/>
          <w:spacing w:val="2"/>
        </w:rPr>
        <w:t xml:space="preserve"> </w:t>
      </w:r>
      <w:r w:rsidRPr="009F528E">
        <w:rPr>
          <w:rFonts w:asciiTheme="minorHAnsi" w:hAnsiTheme="minorHAnsi" w:cstheme="minorHAnsi"/>
          <w:color w:val="202124"/>
          <w:shd w:val="clear" w:color="auto" w:fill="FFFFFF"/>
        </w:rPr>
        <w:t>at 14.82</w:t>
      </w:r>
    </w:p>
  </w:footnote>
  <w:footnote w:id="61">
    <w:p w14:paraId="0A9E5F71" w14:textId="694D2589" w:rsidR="002619E4" w:rsidRPr="009F528E" w:rsidRDefault="002619E4">
      <w:pPr>
        <w:pStyle w:val="FootnoteText"/>
        <w:rPr>
          <w:rFonts w:asciiTheme="minorHAnsi" w:hAnsiTheme="minorHAnsi" w:cstheme="minorHAnsi"/>
        </w:rPr>
      </w:pPr>
      <w:r w:rsidRPr="009F528E">
        <w:rPr>
          <w:rStyle w:val="FootnoteReference"/>
          <w:rFonts w:asciiTheme="minorHAnsi" w:hAnsiTheme="minorHAnsi" w:cstheme="minorHAnsi"/>
        </w:rPr>
        <w:footnoteRef/>
      </w:r>
      <w:r w:rsidRPr="009F528E">
        <w:rPr>
          <w:rFonts w:asciiTheme="minorHAnsi" w:hAnsiTheme="minorHAnsi" w:cstheme="minorHAnsi"/>
        </w:rPr>
        <w:t xml:space="preserve"> </w:t>
      </w:r>
      <w:r w:rsidR="009F528E" w:rsidRPr="009F528E">
        <w:rPr>
          <w:rFonts w:asciiTheme="minorHAnsi" w:hAnsiTheme="minorHAnsi" w:cstheme="minorHAnsi"/>
        </w:rPr>
        <w:t xml:space="preserve">Kelly, Tegan (2017). </w:t>
      </w:r>
      <w:r w:rsidR="009F528E" w:rsidRPr="009F528E">
        <w:rPr>
          <w:rFonts w:asciiTheme="minorHAnsi" w:hAnsiTheme="minorHAnsi" w:cstheme="minorHAnsi"/>
          <w:i/>
          <w:iCs/>
        </w:rPr>
        <w:t>A statutory duty to notify: A critical analysis of proposal 11.3</w:t>
      </w:r>
      <w:r w:rsidR="009F528E" w:rsidRPr="009F528E">
        <w:rPr>
          <w:rFonts w:asciiTheme="minorHAnsi" w:hAnsiTheme="minorHAnsi" w:cstheme="minorHAnsi"/>
        </w:rPr>
        <w:t xml:space="preserve"> at p37; located at https://www.alrc.gov.au/wp-content/uploads/2019/08/116._tegan_kelly.pdf</w:t>
      </w:r>
    </w:p>
  </w:footnote>
  <w:footnote w:id="62">
    <w:p w14:paraId="78C01CA5" w14:textId="77777777" w:rsidR="00CA2CB9" w:rsidRPr="009F528E" w:rsidRDefault="00CA2CB9">
      <w:pPr>
        <w:pStyle w:val="FootnoteText"/>
        <w:rPr>
          <w:rFonts w:asciiTheme="minorHAnsi" w:hAnsiTheme="minorHAnsi" w:cstheme="minorHAnsi"/>
        </w:rPr>
      </w:pPr>
      <w:r w:rsidRPr="009F528E">
        <w:rPr>
          <w:rStyle w:val="FootnoteReference"/>
          <w:rFonts w:asciiTheme="minorHAnsi" w:hAnsiTheme="minorHAnsi" w:cstheme="minorHAnsi"/>
        </w:rPr>
        <w:footnoteRef/>
      </w:r>
      <w:r w:rsidRPr="009F528E">
        <w:rPr>
          <w:rFonts w:asciiTheme="minorHAnsi" w:hAnsiTheme="minorHAnsi" w:cstheme="minorHAnsi"/>
        </w:rPr>
        <w:t xml:space="preserve"> </w:t>
      </w:r>
      <w:r w:rsidR="00BF14F9" w:rsidRPr="009F528E">
        <w:rPr>
          <w:rFonts w:asciiTheme="minorHAnsi" w:hAnsiTheme="minorHAnsi" w:cstheme="minorHAnsi"/>
        </w:rPr>
        <w:t>NT police general order – Custody and Transport at [314]</w:t>
      </w:r>
    </w:p>
  </w:footnote>
  <w:footnote w:id="63">
    <w:p w14:paraId="7D17DD09" w14:textId="2F3222DC" w:rsidR="00CA2CB9" w:rsidRPr="009F528E" w:rsidRDefault="00CA2CB9">
      <w:pPr>
        <w:pStyle w:val="FootnoteText"/>
        <w:rPr>
          <w:rFonts w:asciiTheme="minorHAnsi" w:hAnsiTheme="minorHAnsi" w:cstheme="minorHAnsi"/>
        </w:rPr>
      </w:pPr>
      <w:r w:rsidRPr="009F528E">
        <w:rPr>
          <w:rStyle w:val="FootnoteReference"/>
          <w:rFonts w:asciiTheme="minorHAnsi" w:hAnsiTheme="minorHAnsi" w:cstheme="minorHAnsi"/>
        </w:rPr>
        <w:footnoteRef/>
      </w:r>
      <w:r w:rsidRPr="009F528E">
        <w:rPr>
          <w:rFonts w:asciiTheme="minorHAnsi" w:hAnsiTheme="minorHAnsi" w:cstheme="minorHAnsi"/>
        </w:rPr>
        <w:t xml:space="preserve"> </w:t>
      </w:r>
      <w:r w:rsidR="00CE106B">
        <w:t xml:space="preserve">Commonwealth, Royal Commission into Aboriginal Deaths in Custody, Final Report, (1991) Volume 5, </w:t>
      </w:r>
      <w:r w:rsidRPr="009F528E">
        <w:rPr>
          <w:rFonts w:asciiTheme="minorHAnsi" w:hAnsiTheme="minorHAnsi" w:cstheme="minorHAnsi"/>
        </w:rPr>
        <w:t>Recommendation 224</w:t>
      </w:r>
    </w:p>
  </w:footnote>
  <w:footnote w:id="64">
    <w:p w14:paraId="4E2A4CE1" w14:textId="415FA3D6" w:rsidR="00733C5D" w:rsidRPr="009F528E" w:rsidRDefault="00733C5D">
      <w:pPr>
        <w:pStyle w:val="FootnoteText"/>
        <w:rPr>
          <w:rFonts w:asciiTheme="minorHAnsi" w:hAnsiTheme="minorHAnsi" w:cstheme="minorHAnsi"/>
        </w:rPr>
      </w:pPr>
      <w:r w:rsidRPr="009F528E">
        <w:rPr>
          <w:rStyle w:val="FootnoteReference"/>
          <w:rFonts w:asciiTheme="minorHAnsi" w:hAnsiTheme="minorHAnsi" w:cstheme="minorHAnsi"/>
        </w:rPr>
        <w:footnoteRef/>
      </w:r>
      <w:r w:rsidRPr="009F528E">
        <w:rPr>
          <w:rFonts w:asciiTheme="minorHAnsi" w:hAnsiTheme="minorHAnsi" w:cstheme="minorHAnsi"/>
        </w:rPr>
        <w:t xml:space="preserve"> https://www.alsnswact.org.au/what_is_cns</w:t>
      </w:r>
    </w:p>
  </w:footnote>
  <w:footnote w:id="65">
    <w:p w14:paraId="4AB2BF38" w14:textId="5C946C12" w:rsidR="00427B96" w:rsidRDefault="00427B96">
      <w:pPr>
        <w:pStyle w:val="FootnoteText"/>
      </w:pPr>
      <w:r>
        <w:rPr>
          <w:rStyle w:val="FootnoteReference"/>
        </w:rPr>
        <w:footnoteRef/>
      </w:r>
      <w:r>
        <w:t xml:space="preserve">  </w:t>
      </w:r>
      <w:hyperlink r:id="rId4" w:tooltip="Go to Pathways to Justice–Inquiry into the Incarceration Rate of Aboriginal and Torres Strait Islander Peoples (ALRC Report 133)." w:history="1">
        <w:r w:rsidR="00B65A97" w:rsidRPr="00371108">
          <w:rPr>
            <w:rStyle w:val="Hyperlink"/>
            <w:rFonts w:asciiTheme="minorHAnsi" w:hAnsiTheme="minorHAnsi" w:cstheme="minorHAnsi"/>
            <w:color w:val="auto"/>
            <w:spacing w:val="2"/>
            <w:u w:val="none"/>
          </w:rPr>
          <w:t>Pathways to Justice–Inquiry into the Incarceration Rate of Aboriginal and Torres Strait Islander Peoples (ALRC Report 133)</w:t>
        </w:r>
      </w:hyperlink>
      <w:r w:rsidR="00B65A97">
        <w:rPr>
          <w:rFonts w:asciiTheme="minorHAnsi" w:hAnsiTheme="minorHAnsi" w:cstheme="minorHAnsi"/>
          <w:color w:val="000000"/>
          <w:spacing w:val="2"/>
        </w:rPr>
        <w:t xml:space="preserve">, </w:t>
      </w:r>
      <w:r>
        <w:t>recommendation 14.3</w:t>
      </w:r>
    </w:p>
  </w:footnote>
  <w:footnote w:id="66">
    <w:p w14:paraId="14A4839E" w14:textId="6E71F1CB" w:rsidR="00174072" w:rsidRDefault="00174072" w:rsidP="00174072">
      <w:pPr>
        <w:pStyle w:val="FootnoteText"/>
      </w:pPr>
      <w:r>
        <w:rPr>
          <w:rStyle w:val="FootnoteReference"/>
        </w:rPr>
        <w:footnoteRef/>
      </w:r>
      <w:r>
        <w:t xml:space="preserve"> </w:t>
      </w:r>
      <w:r w:rsidR="00B65A97" w:rsidRPr="00AE3DEF">
        <w:rPr>
          <w:rFonts w:asciiTheme="minorHAnsi" w:hAnsiTheme="minorHAnsi" w:cstheme="minorHAnsi"/>
          <w:color w:val="000000"/>
          <w:spacing w:val="2"/>
          <w:shd w:val="clear" w:color="auto" w:fill="FFFFFF"/>
        </w:rPr>
        <w:t>Northern Territory, Royal Commission into Youth Detention and Child Protection in the Northern Territory, </w:t>
      </w:r>
      <w:r w:rsidR="00B65A97" w:rsidRPr="00AE3DEF">
        <w:rPr>
          <w:rStyle w:val="Emphasis"/>
          <w:rFonts w:asciiTheme="minorHAnsi" w:hAnsiTheme="minorHAnsi" w:cstheme="minorHAnsi"/>
          <w:color w:val="000000"/>
          <w:spacing w:val="2"/>
          <w:bdr w:val="none" w:sz="0" w:space="0" w:color="auto" w:frame="1"/>
          <w:shd w:val="clear" w:color="auto" w:fill="FFFFFF"/>
        </w:rPr>
        <w:t>Final Report</w:t>
      </w:r>
      <w:r w:rsidR="00B65A97" w:rsidRPr="00AE3DEF">
        <w:rPr>
          <w:rFonts w:asciiTheme="minorHAnsi" w:hAnsiTheme="minorHAnsi" w:cstheme="minorHAnsi"/>
          <w:color w:val="000000"/>
          <w:spacing w:val="2"/>
          <w:shd w:val="clear" w:color="auto" w:fill="FFFFFF"/>
        </w:rPr>
        <w:t xml:space="preserve"> (2017). </w:t>
      </w:r>
      <w:r w:rsidR="00AE3DEF" w:rsidRPr="00AE3DEF">
        <w:rPr>
          <w:rFonts w:asciiTheme="minorHAnsi" w:hAnsiTheme="minorHAnsi" w:cstheme="minorHAnsi"/>
          <w:color w:val="000000"/>
          <w:spacing w:val="2"/>
          <w:shd w:val="clear" w:color="auto" w:fill="FFFFFF"/>
        </w:rPr>
        <w:t xml:space="preserve"> Findings and Recommendations. </w:t>
      </w:r>
      <w:r w:rsidRPr="00AE3DEF">
        <w:rPr>
          <w:rStyle w:val="A7"/>
          <w:rFonts w:asciiTheme="minorHAnsi" w:hAnsiTheme="minorHAnsi" w:cstheme="minorHAnsi"/>
          <w:i w:val="0"/>
          <w:sz w:val="20"/>
          <w:szCs w:val="20"/>
        </w:rPr>
        <w:t>Recommendation 25.4</w:t>
      </w:r>
    </w:p>
  </w:footnote>
  <w:footnote w:id="67">
    <w:p w14:paraId="0CA84459" w14:textId="77777777" w:rsidR="00F430A5" w:rsidRPr="0037767D" w:rsidRDefault="00F430A5" w:rsidP="00F430A5">
      <w:pPr>
        <w:pStyle w:val="Heading1"/>
        <w:shd w:val="clear" w:color="auto" w:fill="FFFFFF"/>
        <w:spacing w:before="0" w:after="180"/>
        <w:rPr>
          <w:rFonts w:asciiTheme="minorHAnsi" w:hAnsiTheme="minorHAnsi" w:cs="Helvetica"/>
          <w:color w:val="333333"/>
          <w:spacing w:val="-5"/>
          <w:sz w:val="20"/>
          <w:szCs w:val="20"/>
        </w:rPr>
      </w:pPr>
      <w:r w:rsidRPr="0037767D">
        <w:rPr>
          <w:rStyle w:val="FootnoteReference"/>
          <w:rFonts w:asciiTheme="minorHAnsi" w:hAnsiTheme="minorHAnsi"/>
          <w:sz w:val="20"/>
          <w:szCs w:val="20"/>
        </w:rPr>
        <w:footnoteRef/>
      </w:r>
      <w:r w:rsidRPr="0037767D">
        <w:rPr>
          <w:rFonts w:asciiTheme="minorHAnsi" w:hAnsiTheme="minorHAnsi"/>
          <w:sz w:val="20"/>
          <w:szCs w:val="20"/>
        </w:rPr>
        <w:t xml:space="preserve"> </w:t>
      </w:r>
      <w:r>
        <w:rPr>
          <w:rFonts w:asciiTheme="minorHAnsi" w:hAnsiTheme="minorHAnsi" w:cs="Arial"/>
          <w:i/>
          <w:color w:val="333333"/>
          <w:spacing w:val="-5"/>
          <w:sz w:val="20"/>
          <w:szCs w:val="20"/>
        </w:rPr>
        <w:t xml:space="preserve">Law Enforcement (Powers and Responsibilities) Regulations </w:t>
      </w:r>
      <w:r>
        <w:rPr>
          <w:rFonts w:asciiTheme="minorHAnsi" w:hAnsiTheme="minorHAnsi" w:cs="Arial"/>
          <w:color w:val="333333"/>
          <w:spacing w:val="-5"/>
          <w:sz w:val="20"/>
          <w:szCs w:val="20"/>
        </w:rPr>
        <w:t>(NSW)</w:t>
      </w:r>
      <w:r>
        <w:rPr>
          <w:rFonts w:asciiTheme="minorHAnsi" w:hAnsiTheme="minorHAnsi" w:cs="Arial"/>
          <w:i/>
          <w:color w:val="333333"/>
          <w:spacing w:val="-5"/>
          <w:sz w:val="20"/>
          <w:szCs w:val="20"/>
        </w:rPr>
        <w:t xml:space="preserve">, r </w:t>
      </w:r>
      <w:r w:rsidRPr="0037767D">
        <w:rPr>
          <w:rFonts w:asciiTheme="minorHAnsi" w:hAnsiTheme="minorHAnsi" w:cs="Arial"/>
          <w:color w:val="333333"/>
          <w:spacing w:val="-5"/>
          <w:sz w:val="20"/>
          <w:szCs w:val="20"/>
        </w:rPr>
        <w:t>37</w:t>
      </w:r>
    </w:p>
  </w:footnote>
  <w:footnote w:id="68">
    <w:p w14:paraId="2E52BF15" w14:textId="77777777" w:rsidR="00F430A5" w:rsidRDefault="00F430A5" w:rsidP="00F430A5">
      <w:pPr>
        <w:pStyle w:val="FootnoteText"/>
      </w:pPr>
      <w:r>
        <w:rPr>
          <w:rStyle w:val="FootnoteReference"/>
        </w:rPr>
        <w:footnoteRef/>
      </w:r>
      <w:r>
        <w:t xml:space="preserve"> </w:t>
      </w:r>
      <w:r>
        <w:rPr>
          <w:i/>
        </w:rPr>
        <w:t xml:space="preserve">Law Enforcement (Powers and Responsibilities) Act </w:t>
      </w:r>
      <w:r>
        <w:t>(NSW), s123(1)</w:t>
      </w:r>
    </w:p>
  </w:footnote>
  <w:footnote w:id="69">
    <w:p w14:paraId="37795DAC" w14:textId="77777777" w:rsidR="00F430A5" w:rsidRPr="00CC7464" w:rsidRDefault="00F430A5" w:rsidP="00F430A5">
      <w:pPr>
        <w:pStyle w:val="FootnoteText"/>
      </w:pPr>
      <w:r>
        <w:rPr>
          <w:rStyle w:val="FootnoteReference"/>
        </w:rPr>
        <w:footnoteRef/>
      </w:r>
      <w:r>
        <w:t xml:space="preserve"> </w:t>
      </w:r>
      <w:r w:rsidRPr="00CC7464">
        <w:rPr>
          <w:rFonts w:asciiTheme="minorHAnsi" w:eastAsia="Times New Roman" w:hAnsiTheme="minorHAnsi" w:cs="Arial"/>
          <w:i/>
        </w:rPr>
        <w:t xml:space="preserve">Police Force Regulations </w:t>
      </w:r>
      <w:r w:rsidRPr="00CC7464">
        <w:rPr>
          <w:rFonts w:asciiTheme="minorHAnsi" w:eastAsia="Times New Roman" w:hAnsiTheme="minorHAnsi" w:cs="Arial"/>
        </w:rPr>
        <w:t>(WA), r703</w:t>
      </w:r>
    </w:p>
  </w:footnote>
  <w:footnote w:id="70">
    <w:p w14:paraId="460B6F8B" w14:textId="77777777" w:rsidR="00F430A5" w:rsidRPr="00497AF4" w:rsidRDefault="00F430A5" w:rsidP="00F430A5">
      <w:pPr>
        <w:contextualSpacing/>
        <w:rPr>
          <w:rFonts w:ascii="Arial" w:eastAsia="Times New Roman" w:hAnsi="Arial" w:cs="Arial"/>
          <w:sz w:val="24"/>
          <w:szCs w:val="24"/>
        </w:rPr>
      </w:pPr>
      <w:r>
        <w:rPr>
          <w:rStyle w:val="FootnoteReference"/>
        </w:rPr>
        <w:footnoteRef/>
      </w:r>
      <w:r>
        <w:t xml:space="preserve"> </w:t>
      </w:r>
      <w:r w:rsidRPr="00CC7464">
        <w:rPr>
          <w:rFonts w:asciiTheme="minorHAnsi" w:eastAsia="Times New Roman" w:hAnsiTheme="minorHAnsi" w:cs="Arial"/>
          <w:i/>
          <w:sz w:val="20"/>
          <w:szCs w:val="20"/>
        </w:rPr>
        <w:t xml:space="preserve">Criminal Investigation Act </w:t>
      </w:r>
      <w:r w:rsidRPr="00CC7464">
        <w:rPr>
          <w:rFonts w:asciiTheme="minorHAnsi" w:eastAsia="Times New Roman" w:hAnsiTheme="minorHAnsi" w:cs="Arial"/>
          <w:sz w:val="20"/>
          <w:szCs w:val="20"/>
        </w:rPr>
        <w:t>(WA), s138</w:t>
      </w:r>
    </w:p>
  </w:footnote>
  <w:footnote w:id="71">
    <w:p w14:paraId="3FC2FC17" w14:textId="77777777" w:rsidR="00F430A5" w:rsidRDefault="00F430A5" w:rsidP="00F430A5">
      <w:pPr>
        <w:pStyle w:val="FootnoteText"/>
      </w:pPr>
      <w:r>
        <w:rPr>
          <w:rStyle w:val="FootnoteReference"/>
        </w:rPr>
        <w:footnoteRef/>
      </w:r>
      <w:r>
        <w:t xml:space="preserve"> </w:t>
      </w:r>
      <w:r w:rsidRPr="00497AF4">
        <w:rPr>
          <w:i/>
        </w:rPr>
        <w:t>Crimes Act</w:t>
      </w:r>
      <w:r>
        <w:t xml:space="preserve"> (Vic), s464FA</w:t>
      </w:r>
    </w:p>
  </w:footnote>
  <w:footnote w:id="72">
    <w:p w14:paraId="364DDAF8" w14:textId="77777777" w:rsidR="00F430A5" w:rsidRDefault="00F430A5" w:rsidP="00F430A5">
      <w:pPr>
        <w:pStyle w:val="FootnoteText"/>
      </w:pPr>
      <w:r>
        <w:rPr>
          <w:rStyle w:val="FootnoteReference"/>
        </w:rPr>
        <w:footnoteRef/>
      </w:r>
      <w:r>
        <w:t xml:space="preserve"> </w:t>
      </w:r>
      <w:r w:rsidRPr="00981841">
        <w:rPr>
          <w:i/>
        </w:rPr>
        <w:t>Police Powers and Responsibilities</w:t>
      </w:r>
      <w:r>
        <w:t xml:space="preserve"> (QLD) s420(2)</w:t>
      </w:r>
    </w:p>
  </w:footnote>
  <w:footnote w:id="73">
    <w:p w14:paraId="03A886A2" w14:textId="77777777" w:rsidR="007D55DC" w:rsidRPr="007D55DC" w:rsidRDefault="007D55DC">
      <w:pPr>
        <w:pStyle w:val="FootnoteText"/>
      </w:pPr>
      <w:r>
        <w:rPr>
          <w:rStyle w:val="FootnoteReference"/>
        </w:rPr>
        <w:footnoteRef/>
      </w:r>
      <w:r>
        <w:t xml:space="preserve"> </w:t>
      </w:r>
      <w:r>
        <w:rPr>
          <w:i/>
        </w:rPr>
        <w:t xml:space="preserve">Police Administration Regulations </w:t>
      </w:r>
      <w:r>
        <w:t xml:space="preserve">(NT), R </w:t>
      </w:r>
      <w:r w:rsidR="004843DC">
        <w:t xml:space="preserve">19B </w:t>
      </w:r>
    </w:p>
  </w:footnote>
  <w:footnote w:id="74">
    <w:p w14:paraId="7341A660" w14:textId="208F7FB4" w:rsidR="00327AD9" w:rsidRPr="00CE106B" w:rsidRDefault="00327AD9" w:rsidP="00327AD9">
      <w:pPr>
        <w:pStyle w:val="FootnoteText"/>
        <w:rPr>
          <w:rFonts w:asciiTheme="minorHAnsi" w:hAnsiTheme="minorHAnsi" w:cstheme="minorHAnsi"/>
        </w:rPr>
      </w:pPr>
      <w:r w:rsidRPr="00CE106B">
        <w:rPr>
          <w:rStyle w:val="FootnoteReference"/>
          <w:rFonts w:asciiTheme="minorHAnsi" w:hAnsiTheme="minorHAnsi" w:cstheme="minorHAnsi"/>
        </w:rPr>
        <w:footnoteRef/>
      </w:r>
      <w:r w:rsidRPr="00CE106B">
        <w:rPr>
          <w:rFonts w:asciiTheme="minorHAnsi" w:hAnsiTheme="minorHAnsi" w:cstheme="minorHAnsi"/>
        </w:rPr>
        <w:t xml:space="preserve"> </w:t>
      </w:r>
      <w:hyperlink r:id="rId5" w:tooltip="Go to Pathways to Justice–Inquiry into the Incarceration Rate of Aboriginal and Torres Strait Islander Peoples (ALRC Report 133)." w:history="1">
        <w:r w:rsidR="00CE106B" w:rsidRPr="00371108">
          <w:rPr>
            <w:rStyle w:val="Hyperlink"/>
            <w:rFonts w:asciiTheme="minorHAnsi" w:hAnsiTheme="minorHAnsi" w:cstheme="minorHAnsi"/>
            <w:color w:val="auto"/>
            <w:spacing w:val="2"/>
            <w:u w:val="none"/>
          </w:rPr>
          <w:t>Pathways to Justice–Inquiry into the Incarceration Rate of Aboriginal and Torres Strait Islander Peoples (ALRC Report 133)</w:t>
        </w:r>
      </w:hyperlink>
      <w:r w:rsidR="00CE106B">
        <w:rPr>
          <w:rFonts w:asciiTheme="minorHAnsi" w:hAnsiTheme="minorHAnsi" w:cstheme="minorHAnsi"/>
          <w:color w:val="000000"/>
          <w:spacing w:val="2"/>
        </w:rPr>
        <w:t xml:space="preserve">, </w:t>
      </w:r>
      <w:r w:rsidR="00CE106B">
        <w:t>recommendation</w:t>
      </w:r>
      <w:r w:rsidRPr="00CE106B">
        <w:rPr>
          <w:rFonts w:asciiTheme="minorHAnsi" w:hAnsiTheme="minorHAnsi" w:cstheme="minorHAnsi"/>
        </w:rPr>
        <w:t xml:space="preserve"> at 14.86</w:t>
      </w:r>
    </w:p>
  </w:footnote>
  <w:footnote w:id="75">
    <w:p w14:paraId="3898B38D" w14:textId="77777777" w:rsidR="00D926FA" w:rsidRPr="00C93705" w:rsidRDefault="00D926FA">
      <w:pPr>
        <w:pStyle w:val="FootnoteText"/>
      </w:pPr>
      <w:r w:rsidRPr="00CE106B">
        <w:rPr>
          <w:rStyle w:val="FootnoteReference"/>
          <w:rFonts w:asciiTheme="minorHAnsi" w:hAnsiTheme="minorHAnsi" w:cstheme="minorHAnsi"/>
        </w:rPr>
        <w:footnoteRef/>
      </w:r>
      <w:r w:rsidRPr="00CE106B">
        <w:rPr>
          <w:rFonts w:asciiTheme="minorHAnsi" w:hAnsiTheme="minorHAnsi" w:cstheme="minorHAnsi"/>
        </w:rPr>
        <w:t xml:space="preserve"> Anthony T</w:t>
      </w:r>
      <w:r w:rsidR="00C93705" w:rsidRPr="00CE106B">
        <w:rPr>
          <w:rFonts w:asciiTheme="minorHAnsi" w:hAnsiTheme="minorHAnsi" w:cstheme="minorHAnsi"/>
        </w:rPr>
        <w:t xml:space="preserve"> &amp; Whittaker W.</w:t>
      </w:r>
      <w:r w:rsidRPr="00CE106B">
        <w:rPr>
          <w:rFonts w:asciiTheme="minorHAnsi" w:hAnsiTheme="minorHAnsi" w:cstheme="minorHAnsi"/>
        </w:rPr>
        <w:t xml:space="preserve"> </w:t>
      </w:r>
      <w:r w:rsidR="00C93705" w:rsidRPr="00CE106B">
        <w:rPr>
          <w:rStyle w:val="Strong"/>
          <w:rFonts w:asciiTheme="minorHAnsi" w:hAnsiTheme="minorHAnsi" w:cstheme="minorHAnsi"/>
          <w:b w:val="0"/>
          <w:color w:val="383838"/>
          <w:bdr w:val="none" w:sz="0" w:space="0" w:color="auto" w:frame="1"/>
        </w:rPr>
        <w:t xml:space="preserve">Legal and welfare checks should be extended to save Aboriginal lives in custody, </w:t>
      </w:r>
      <w:r w:rsidR="00C93705" w:rsidRPr="00CE106B">
        <w:rPr>
          <w:rStyle w:val="Strong"/>
          <w:rFonts w:asciiTheme="minorHAnsi" w:hAnsiTheme="minorHAnsi" w:cstheme="minorHAnsi"/>
          <w:b w:val="0"/>
          <w:i/>
          <w:color w:val="383838"/>
          <w:bdr w:val="none" w:sz="0" w:space="0" w:color="auto" w:frame="1"/>
        </w:rPr>
        <w:t xml:space="preserve">The Conversation. </w:t>
      </w:r>
      <w:r w:rsidR="00C93705" w:rsidRPr="00CE106B">
        <w:rPr>
          <w:rStyle w:val="Strong"/>
          <w:rFonts w:asciiTheme="minorHAnsi" w:hAnsiTheme="minorHAnsi" w:cstheme="minorHAnsi"/>
          <w:b w:val="0"/>
          <w:color w:val="383838"/>
          <w:bdr w:val="none" w:sz="0" w:space="0" w:color="auto" w:frame="1"/>
        </w:rPr>
        <w:t>27 August 2019. https://theconversation.com/legal-and-welfare-checks-should-be-extended-to-save-aboriginal-lives-in-custody-121814</w:t>
      </w:r>
      <w:r w:rsidR="00C93705">
        <w:rPr>
          <w:rStyle w:val="Strong"/>
          <w:rFonts w:ascii="Arial" w:hAnsi="Arial" w:cs="Arial"/>
          <w:b w:val="0"/>
          <w:i/>
          <w:color w:val="383838"/>
          <w:bdr w:val="none" w:sz="0" w:space="0" w:color="auto" w:frame="1"/>
        </w:rPr>
        <w:t xml:space="preserve">  </w:t>
      </w:r>
    </w:p>
  </w:footnote>
  <w:footnote w:id="76">
    <w:p w14:paraId="053A91BB" w14:textId="29075998" w:rsidR="00A2123C" w:rsidRDefault="00A2123C">
      <w:pPr>
        <w:pStyle w:val="FootnoteText"/>
      </w:pPr>
      <w:r>
        <w:rPr>
          <w:rStyle w:val="FootnoteReference"/>
        </w:rPr>
        <w:footnoteRef/>
      </w:r>
      <w:r>
        <w:t xml:space="preserve"> Some of these stories were presented on ABC RN’s Law Report found at </w:t>
      </w:r>
      <w:r w:rsidRPr="00A2123C">
        <w:t>https://www.abc.net.au/radionational/programs/lawreport/asset-based-loans-v2/13817072</w:t>
      </w:r>
    </w:p>
  </w:footnote>
  <w:footnote w:id="77">
    <w:p w14:paraId="552CF9AB" w14:textId="77777777" w:rsidR="00D60FCC" w:rsidRDefault="00D60FCC">
      <w:pPr>
        <w:pStyle w:val="FootnoteText"/>
      </w:pPr>
      <w:r>
        <w:rPr>
          <w:rStyle w:val="FootnoteReference"/>
        </w:rPr>
        <w:footnoteRef/>
      </w:r>
      <w:r>
        <w:t xml:space="preserve"> [2012] NTMC 32</w:t>
      </w:r>
    </w:p>
  </w:footnote>
  <w:footnote w:id="78">
    <w:p w14:paraId="3972FFF8" w14:textId="77777777" w:rsidR="004456DF" w:rsidRPr="004456DF" w:rsidRDefault="004456DF">
      <w:pPr>
        <w:pStyle w:val="FootnoteText"/>
      </w:pPr>
      <w:r>
        <w:rPr>
          <w:rStyle w:val="FootnoteReference"/>
        </w:rPr>
        <w:footnoteRef/>
      </w:r>
      <w:r>
        <w:t xml:space="preserve"> AMSANT.  </w:t>
      </w:r>
      <w:r w:rsidRPr="004456DF">
        <w:rPr>
          <w:i/>
        </w:rPr>
        <w:t>Priorities for Aboriginal Primary Health Care in the Northern Territory</w:t>
      </w:r>
      <w:r>
        <w:rPr>
          <w:i/>
        </w:rPr>
        <w:t xml:space="preserve">. </w:t>
      </w:r>
      <w:r>
        <w:t>(May 2016)</w:t>
      </w:r>
      <w:r>
        <w:rPr>
          <w:i/>
        </w:rPr>
        <w:t xml:space="preserve"> </w:t>
      </w:r>
      <w:r w:rsidRPr="004456DF">
        <w:rPr>
          <w:i/>
        </w:rPr>
        <w:t>http://www.amsant.org.au/wp-content/uploads/2018/09/AMSANT-Priorities-for-Aboriginal-PHC-2016_Final-Draft.pdf</w:t>
      </w:r>
    </w:p>
  </w:footnote>
  <w:footnote w:id="79">
    <w:p w14:paraId="0BD2A7B0" w14:textId="77777777" w:rsidR="00697E68" w:rsidRPr="004456DF" w:rsidRDefault="00697E68" w:rsidP="00697E68">
      <w:pPr>
        <w:pStyle w:val="FootnoteText"/>
      </w:pPr>
      <w:r>
        <w:rPr>
          <w:rStyle w:val="FootnoteReference"/>
        </w:rPr>
        <w:footnoteRef/>
      </w:r>
      <w:r>
        <w:t xml:space="preserve"> AMSANT.  </w:t>
      </w:r>
      <w:r w:rsidRPr="004456DF">
        <w:rPr>
          <w:i/>
        </w:rPr>
        <w:t>Priorities for Aboriginal Primary Health Care in the Northern Territory</w:t>
      </w:r>
      <w:r>
        <w:rPr>
          <w:i/>
        </w:rPr>
        <w:t xml:space="preserve">. </w:t>
      </w:r>
      <w:r>
        <w:t>(May 2016)</w:t>
      </w:r>
      <w:r>
        <w:rPr>
          <w:i/>
        </w:rPr>
        <w:t xml:space="preserve"> </w:t>
      </w:r>
      <w:r w:rsidRPr="004456DF">
        <w:rPr>
          <w:i/>
        </w:rPr>
        <w:t>http://www.amsant.org.au/wp-content/uploads/2018/09/AMSANT-Priorities-for-Aboriginal-PHC-2016_Final-Draft.pdf</w:t>
      </w:r>
    </w:p>
  </w:footnote>
  <w:footnote w:id="80">
    <w:p w14:paraId="2DE3EE76" w14:textId="77777777" w:rsidR="003E706E" w:rsidRDefault="003E706E" w:rsidP="003E706E">
      <w:pPr>
        <w:pStyle w:val="FootnoteText"/>
      </w:pPr>
      <w:r>
        <w:rPr>
          <w:rStyle w:val="FootnoteReference"/>
        </w:rPr>
        <w:footnoteRef/>
      </w:r>
      <w:r>
        <w:t xml:space="preserve"> Kelly, Tegan (2017). </w:t>
      </w:r>
      <w:r w:rsidRPr="009F528E">
        <w:rPr>
          <w:i/>
          <w:iCs/>
        </w:rPr>
        <w:t>A statutory duty to notify: A critical analysis of proposal 11.3</w:t>
      </w:r>
      <w:r>
        <w:t xml:space="preserve"> at p36; located at </w:t>
      </w:r>
      <w:r w:rsidRPr="009F528E">
        <w:t>https://www.alrc.gov.au/wp-content/uploads/2019/08/116._tegan_kelly.pdf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3F36"/>
    <w:multiLevelType w:val="hybridMultilevel"/>
    <w:tmpl w:val="391667CE"/>
    <w:lvl w:ilvl="0" w:tplc="5EE847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077F94"/>
    <w:multiLevelType w:val="hybridMultilevel"/>
    <w:tmpl w:val="68169D1C"/>
    <w:lvl w:ilvl="0" w:tplc="8898A786">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C3A5B"/>
    <w:multiLevelType w:val="multilevel"/>
    <w:tmpl w:val="F18C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94805"/>
    <w:multiLevelType w:val="hybridMultilevel"/>
    <w:tmpl w:val="8E0957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8AF35EB"/>
    <w:multiLevelType w:val="multilevel"/>
    <w:tmpl w:val="59FA64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AA05CF"/>
    <w:multiLevelType w:val="hybridMultilevel"/>
    <w:tmpl w:val="31C842AC"/>
    <w:lvl w:ilvl="0" w:tplc="32508C06">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045E81"/>
    <w:multiLevelType w:val="hybridMultilevel"/>
    <w:tmpl w:val="0C94D998"/>
    <w:lvl w:ilvl="0" w:tplc="4184C7D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4938203">
    <w:abstractNumId w:val="5"/>
  </w:num>
  <w:num w:numId="2" w16cid:durableId="1124616765">
    <w:abstractNumId w:val="4"/>
  </w:num>
  <w:num w:numId="3" w16cid:durableId="1171335237">
    <w:abstractNumId w:val="6"/>
  </w:num>
  <w:num w:numId="4" w16cid:durableId="1828980369">
    <w:abstractNumId w:val="2"/>
  </w:num>
  <w:num w:numId="5" w16cid:durableId="191723339">
    <w:abstractNumId w:val="3"/>
  </w:num>
  <w:num w:numId="6" w16cid:durableId="1971746524">
    <w:abstractNumId w:val="0"/>
  </w:num>
  <w:num w:numId="7" w16cid:durableId="15427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41"/>
    <w:rsid w:val="00001229"/>
    <w:rsid w:val="00012013"/>
    <w:rsid w:val="00016724"/>
    <w:rsid w:val="00017B06"/>
    <w:rsid w:val="00020432"/>
    <w:rsid w:val="00024F25"/>
    <w:rsid w:val="000328E0"/>
    <w:rsid w:val="00045852"/>
    <w:rsid w:val="000707B1"/>
    <w:rsid w:val="000709F6"/>
    <w:rsid w:val="0007421F"/>
    <w:rsid w:val="00081A74"/>
    <w:rsid w:val="00084BCE"/>
    <w:rsid w:val="0008501A"/>
    <w:rsid w:val="0009392A"/>
    <w:rsid w:val="00095B6C"/>
    <w:rsid w:val="000B174B"/>
    <w:rsid w:val="000B5C54"/>
    <w:rsid w:val="000C2A05"/>
    <w:rsid w:val="000C4F67"/>
    <w:rsid w:val="000D6E76"/>
    <w:rsid w:val="000F1C84"/>
    <w:rsid w:val="00105218"/>
    <w:rsid w:val="00112F1A"/>
    <w:rsid w:val="0011672A"/>
    <w:rsid w:val="00137597"/>
    <w:rsid w:val="00140250"/>
    <w:rsid w:val="00150520"/>
    <w:rsid w:val="0015141B"/>
    <w:rsid w:val="00152A8E"/>
    <w:rsid w:val="00153523"/>
    <w:rsid w:val="001609D3"/>
    <w:rsid w:val="00160D90"/>
    <w:rsid w:val="00174072"/>
    <w:rsid w:val="001820BB"/>
    <w:rsid w:val="0018477E"/>
    <w:rsid w:val="001A4839"/>
    <w:rsid w:val="001B19A9"/>
    <w:rsid w:val="001B32E0"/>
    <w:rsid w:val="001C411E"/>
    <w:rsid w:val="001D374A"/>
    <w:rsid w:val="001D6057"/>
    <w:rsid w:val="001E62E6"/>
    <w:rsid w:val="001F02AA"/>
    <w:rsid w:val="00211D66"/>
    <w:rsid w:val="0021352A"/>
    <w:rsid w:val="00216AE9"/>
    <w:rsid w:val="00220A40"/>
    <w:rsid w:val="00225208"/>
    <w:rsid w:val="00230DB6"/>
    <w:rsid w:val="002619E4"/>
    <w:rsid w:val="0026373E"/>
    <w:rsid w:val="0027263D"/>
    <w:rsid w:val="002A6244"/>
    <w:rsid w:val="002A64B0"/>
    <w:rsid w:val="002A6EDF"/>
    <w:rsid w:val="002B1B42"/>
    <w:rsid w:val="002B1EBB"/>
    <w:rsid w:val="002B22E8"/>
    <w:rsid w:val="002B6564"/>
    <w:rsid w:val="002C2BCD"/>
    <w:rsid w:val="002D6BC6"/>
    <w:rsid w:val="002F4438"/>
    <w:rsid w:val="0030575F"/>
    <w:rsid w:val="0031291E"/>
    <w:rsid w:val="00317F53"/>
    <w:rsid w:val="00320899"/>
    <w:rsid w:val="00327AD9"/>
    <w:rsid w:val="00333C8B"/>
    <w:rsid w:val="00335C75"/>
    <w:rsid w:val="003644D7"/>
    <w:rsid w:val="003645A3"/>
    <w:rsid w:val="0037767D"/>
    <w:rsid w:val="00381FF0"/>
    <w:rsid w:val="0039049A"/>
    <w:rsid w:val="003A24A9"/>
    <w:rsid w:val="003A6CB0"/>
    <w:rsid w:val="003D59E8"/>
    <w:rsid w:val="003E706E"/>
    <w:rsid w:val="003F1AB2"/>
    <w:rsid w:val="003F6F41"/>
    <w:rsid w:val="00410E7A"/>
    <w:rsid w:val="00427B96"/>
    <w:rsid w:val="00433F0F"/>
    <w:rsid w:val="00440911"/>
    <w:rsid w:val="004456DF"/>
    <w:rsid w:val="004608E1"/>
    <w:rsid w:val="00473F00"/>
    <w:rsid w:val="00474729"/>
    <w:rsid w:val="004843DC"/>
    <w:rsid w:val="00487EAB"/>
    <w:rsid w:val="00490E43"/>
    <w:rsid w:val="00497AF4"/>
    <w:rsid w:val="004A0AF0"/>
    <w:rsid w:val="004A36FF"/>
    <w:rsid w:val="004C1B9D"/>
    <w:rsid w:val="004C1C79"/>
    <w:rsid w:val="004C33BE"/>
    <w:rsid w:val="004C63D3"/>
    <w:rsid w:val="004E15EF"/>
    <w:rsid w:val="004F4F5D"/>
    <w:rsid w:val="00502E31"/>
    <w:rsid w:val="00505E29"/>
    <w:rsid w:val="005121A0"/>
    <w:rsid w:val="00516C63"/>
    <w:rsid w:val="00537091"/>
    <w:rsid w:val="00542ABB"/>
    <w:rsid w:val="00554FCB"/>
    <w:rsid w:val="00575F63"/>
    <w:rsid w:val="0058537E"/>
    <w:rsid w:val="00586A89"/>
    <w:rsid w:val="005C1BCE"/>
    <w:rsid w:val="00603EAE"/>
    <w:rsid w:val="006135FA"/>
    <w:rsid w:val="00624F13"/>
    <w:rsid w:val="00646E1E"/>
    <w:rsid w:val="006529B2"/>
    <w:rsid w:val="00665660"/>
    <w:rsid w:val="00665F1F"/>
    <w:rsid w:val="006846EA"/>
    <w:rsid w:val="00687568"/>
    <w:rsid w:val="006877B0"/>
    <w:rsid w:val="00696183"/>
    <w:rsid w:val="00696425"/>
    <w:rsid w:val="00697E68"/>
    <w:rsid w:val="006B2569"/>
    <w:rsid w:val="006C08B8"/>
    <w:rsid w:val="00713FB6"/>
    <w:rsid w:val="00733C5D"/>
    <w:rsid w:val="00735AD0"/>
    <w:rsid w:val="00735E0B"/>
    <w:rsid w:val="0075560D"/>
    <w:rsid w:val="00773460"/>
    <w:rsid w:val="00774BE0"/>
    <w:rsid w:val="007779A2"/>
    <w:rsid w:val="0078118A"/>
    <w:rsid w:val="00791BF8"/>
    <w:rsid w:val="007C58B8"/>
    <w:rsid w:val="007D55DC"/>
    <w:rsid w:val="007D78D5"/>
    <w:rsid w:val="007E03F7"/>
    <w:rsid w:val="007E132E"/>
    <w:rsid w:val="007E3142"/>
    <w:rsid w:val="007E4B7E"/>
    <w:rsid w:val="007E79BF"/>
    <w:rsid w:val="00824628"/>
    <w:rsid w:val="00832538"/>
    <w:rsid w:val="00853B2B"/>
    <w:rsid w:val="00853EC9"/>
    <w:rsid w:val="0086697D"/>
    <w:rsid w:val="008704E4"/>
    <w:rsid w:val="008714BD"/>
    <w:rsid w:val="00876940"/>
    <w:rsid w:val="00883E11"/>
    <w:rsid w:val="008922D9"/>
    <w:rsid w:val="00895ED9"/>
    <w:rsid w:val="008969F3"/>
    <w:rsid w:val="008A2905"/>
    <w:rsid w:val="008A403C"/>
    <w:rsid w:val="008A6776"/>
    <w:rsid w:val="008B4D69"/>
    <w:rsid w:val="008B5059"/>
    <w:rsid w:val="008C7464"/>
    <w:rsid w:val="008C7C19"/>
    <w:rsid w:val="008E0F76"/>
    <w:rsid w:val="009001C4"/>
    <w:rsid w:val="009004D2"/>
    <w:rsid w:val="009045D0"/>
    <w:rsid w:val="009273BF"/>
    <w:rsid w:val="009348AD"/>
    <w:rsid w:val="009574A9"/>
    <w:rsid w:val="00980A25"/>
    <w:rsid w:val="00981141"/>
    <w:rsid w:val="00981841"/>
    <w:rsid w:val="00996040"/>
    <w:rsid w:val="00996094"/>
    <w:rsid w:val="009B0797"/>
    <w:rsid w:val="009B0B8C"/>
    <w:rsid w:val="009B63DA"/>
    <w:rsid w:val="009C7579"/>
    <w:rsid w:val="009C7A32"/>
    <w:rsid w:val="009D62DA"/>
    <w:rsid w:val="009F11F6"/>
    <w:rsid w:val="009F528E"/>
    <w:rsid w:val="00A00B0C"/>
    <w:rsid w:val="00A014A9"/>
    <w:rsid w:val="00A16A5F"/>
    <w:rsid w:val="00A2123C"/>
    <w:rsid w:val="00A27656"/>
    <w:rsid w:val="00A31452"/>
    <w:rsid w:val="00A35F15"/>
    <w:rsid w:val="00A421F0"/>
    <w:rsid w:val="00A42366"/>
    <w:rsid w:val="00A60950"/>
    <w:rsid w:val="00A672DB"/>
    <w:rsid w:val="00A718F1"/>
    <w:rsid w:val="00A866D6"/>
    <w:rsid w:val="00A96F15"/>
    <w:rsid w:val="00AA52D9"/>
    <w:rsid w:val="00AA5A18"/>
    <w:rsid w:val="00AD1902"/>
    <w:rsid w:val="00AD6058"/>
    <w:rsid w:val="00AE3DEF"/>
    <w:rsid w:val="00AE4FE2"/>
    <w:rsid w:val="00B00D02"/>
    <w:rsid w:val="00B01DA6"/>
    <w:rsid w:val="00B03FDF"/>
    <w:rsid w:val="00B15B84"/>
    <w:rsid w:val="00B15EC2"/>
    <w:rsid w:val="00B4193F"/>
    <w:rsid w:val="00B65A97"/>
    <w:rsid w:val="00B663D8"/>
    <w:rsid w:val="00B82892"/>
    <w:rsid w:val="00B842FB"/>
    <w:rsid w:val="00B87198"/>
    <w:rsid w:val="00B932E4"/>
    <w:rsid w:val="00BC0307"/>
    <w:rsid w:val="00BF14F9"/>
    <w:rsid w:val="00C045E6"/>
    <w:rsid w:val="00C064AD"/>
    <w:rsid w:val="00C11DFF"/>
    <w:rsid w:val="00C326C4"/>
    <w:rsid w:val="00C45C1A"/>
    <w:rsid w:val="00C502A6"/>
    <w:rsid w:val="00C508C7"/>
    <w:rsid w:val="00C55A2F"/>
    <w:rsid w:val="00C57FBE"/>
    <w:rsid w:val="00C60576"/>
    <w:rsid w:val="00C609B2"/>
    <w:rsid w:val="00C6659D"/>
    <w:rsid w:val="00C7675D"/>
    <w:rsid w:val="00C876B5"/>
    <w:rsid w:val="00C93705"/>
    <w:rsid w:val="00C94101"/>
    <w:rsid w:val="00CA136B"/>
    <w:rsid w:val="00CA226F"/>
    <w:rsid w:val="00CA29AC"/>
    <w:rsid w:val="00CA2CB9"/>
    <w:rsid w:val="00CA6199"/>
    <w:rsid w:val="00CC00C4"/>
    <w:rsid w:val="00CC580E"/>
    <w:rsid w:val="00CC7464"/>
    <w:rsid w:val="00CD3849"/>
    <w:rsid w:val="00CE0BBF"/>
    <w:rsid w:val="00CE106B"/>
    <w:rsid w:val="00CE31A2"/>
    <w:rsid w:val="00CF53B1"/>
    <w:rsid w:val="00D36BEC"/>
    <w:rsid w:val="00D43E41"/>
    <w:rsid w:val="00D57BE9"/>
    <w:rsid w:val="00D60FCC"/>
    <w:rsid w:val="00D61081"/>
    <w:rsid w:val="00D85BD9"/>
    <w:rsid w:val="00D926FA"/>
    <w:rsid w:val="00D94EB7"/>
    <w:rsid w:val="00DA6141"/>
    <w:rsid w:val="00DC4FDB"/>
    <w:rsid w:val="00DD70D0"/>
    <w:rsid w:val="00DE3B40"/>
    <w:rsid w:val="00DF24E2"/>
    <w:rsid w:val="00DF6021"/>
    <w:rsid w:val="00E10336"/>
    <w:rsid w:val="00E17442"/>
    <w:rsid w:val="00E31F61"/>
    <w:rsid w:val="00E35DF4"/>
    <w:rsid w:val="00E6134E"/>
    <w:rsid w:val="00E74CE8"/>
    <w:rsid w:val="00E758F7"/>
    <w:rsid w:val="00E76FA3"/>
    <w:rsid w:val="00E8579B"/>
    <w:rsid w:val="00EA7F2E"/>
    <w:rsid w:val="00EB3359"/>
    <w:rsid w:val="00EC0AFC"/>
    <w:rsid w:val="00EC3FBB"/>
    <w:rsid w:val="00EE2CDF"/>
    <w:rsid w:val="00EE69E5"/>
    <w:rsid w:val="00EF0DF4"/>
    <w:rsid w:val="00EF1E09"/>
    <w:rsid w:val="00F04285"/>
    <w:rsid w:val="00F0588C"/>
    <w:rsid w:val="00F07B90"/>
    <w:rsid w:val="00F35933"/>
    <w:rsid w:val="00F430A5"/>
    <w:rsid w:val="00F44E2F"/>
    <w:rsid w:val="00F52F90"/>
    <w:rsid w:val="00F71828"/>
    <w:rsid w:val="00F8014C"/>
    <w:rsid w:val="00F9140A"/>
    <w:rsid w:val="00F918E9"/>
    <w:rsid w:val="00FA0031"/>
    <w:rsid w:val="00FA6FF8"/>
    <w:rsid w:val="00FB0EE7"/>
    <w:rsid w:val="00FB1241"/>
    <w:rsid w:val="00FB633E"/>
    <w:rsid w:val="00FC1C4B"/>
    <w:rsid w:val="00FD6F2C"/>
    <w:rsid w:val="00FF0887"/>
    <w:rsid w:val="00FF2121"/>
    <w:rsid w:val="00FF4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A154"/>
  <w15:docId w15:val="{7E22118D-7798-4D2B-8E9B-D6CF3B56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4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776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B1241"/>
    <w:pPr>
      <w:spacing w:before="100" w:beforeAutospacing="1" w:after="100" w:afterAutospacing="1"/>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F41"/>
    <w:pPr>
      <w:ind w:left="720"/>
      <w:contextualSpacing/>
    </w:pPr>
  </w:style>
  <w:style w:type="character" w:customStyle="1" w:styleId="mqo3nc">
    <w:name w:val="mqo3nc"/>
    <w:basedOn w:val="DefaultParagraphFont"/>
    <w:rsid w:val="008969F3"/>
  </w:style>
  <w:style w:type="paragraph" w:styleId="FootnoteText">
    <w:name w:val="footnote text"/>
    <w:basedOn w:val="Normal"/>
    <w:link w:val="FootnoteTextChar"/>
    <w:uiPriority w:val="99"/>
    <w:unhideWhenUsed/>
    <w:rsid w:val="00487EAB"/>
    <w:rPr>
      <w:sz w:val="20"/>
      <w:szCs w:val="20"/>
    </w:rPr>
  </w:style>
  <w:style w:type="character" w:customStyle="1" w:styleId="FootnoteTextChar">
    <w:name w:val="Footnote Text Char"/>
    <w:basedOn w:val="DefaultParagraphFont"/>
    <w:link w:val="FootnoteText"/>
    <w:uiPriority w:val="99"/>
    <w:rsid w:val="00487EAB"/>
    <w:rPr>
      <w:rFonts w:ascii="Calibri" w:hAnsi="Calibri" w:cs="Times New Roman"/>
      <w:sz w:val="20"/>
      <w:szCs w:val="20"/>
    </w:rPr>
  </w:style>
  <w:style w:type="character" w:styleId="FootnoteReference">
    <w:name w:val="footnote reference"/>
    <w:basedOn w:val="DefaultParagraphFont"/>
    <w:uiPriority w:val="99"/>
    <w:unhideWhenUsed/>
    <w:rsid w:val="00487EAB"/>
    <w:rPr>
      <w:vertAlign w:val="superscript"/>
    </w:rPr>
  </w:style>
  <w:style w:type="character" w:customStyle="1" w:styleId="Heading3Char">
    <w:name w:val="Heading 3 Char"/>
    <w:basedOn w:val="DefaultParagraphFont"/>
    <w:link w:val="Heading3"/>
    <w:uiPriority w:val="9"/>
    <w:rsid w:val="00FB1241"/>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B03FDF"/>
    <w:rPr>
      <w:color w:val="0000FF"/>
      <w:u w:val="single"/>
    </w:rPr>
  </w:style>
  <w:style w:type="paragraph" w:styleId="NormalWeb">
    <w:name w:val="Normal (Web)"/>
    <w:basedOn w:val="Normal"/>
    <w:uiPriority w:val="99"/>
    <w:semiHidden/>
    <w:unhideWhenUsed/>
    <w:rsid w:val="00CE0BBF"/>
    <w:rPr>
      <w:rFonts w:ascii="Times New Roman" w:eastAsia="Times New Roman" w:hAnsi="Times New Roman"/>
      <w:sz w:val="24"/>
      <w:szCs w:val="24"/>
      <w:lang w:eastAsia="en-AU"/>
    </w:rPr>
  </w:style>
  <w:style w:type="paragraph" w:customStyle="1" w:styleId="Default">
    <w:name w:val="Default"/>
    <w:rsid w:val="00665F1F"/>
    <w:pPr>
      <w:autoSpaceDE w:val="0"/>
      <w:autoSpaceDN w:val="0"/>
      <w:adjustRightInd w:val="0"/>
      <w:spacing w:after="0" w:line="240" w:lineRule="auto"/>
    </w:pPr>
    <w:rPr>
      <w:rFonts w:ascii="Futura PT Medium" w:hAnsi="Futura PT Medium" w:cs="Futura PT Medium"/>
      <w:color w:val="000000"/>
      <w:sz w:val="24"/>
      <w:szCs w:val="24"/>
    </w:rPr>
  </w:style>
  <w:style w:type="paragraph" w:customStyle="1" w:styleId="Pa8">
    <w:name w:val="Pa8"/>
    <w:basedOn w:val="Default"/>
    <w:next w:val="Default"/>
    <w:uiPriority w:val="99"/>
    <w:rsid w:val="00665F1F"/>
    <w:pPr>
      <w:spacing w:line="221" w:lineRule="atLeast"/>
    </w:pPr>
    <w:rPr>
      <w:rFonts w:cstheme="minorBidi"/>
      <w:color w:val="auto"/>
    </w:rPr>
  </w:style>
  <w:style w:type="character" w:customStyle="1" w:styleId="A7">
    <w:name w:val="A7"/>
    <w:uiPriority w:val="99"/>
    <w:rsid w:val="00665F1F"/>
    <w:rPr>
      <w:rFonts w:cs="Futura PT Medium"/>
      <w:i/>
      <w:iCs/>
      <w:color w:val="000000"/>
      <w:sz w:val="28"/>
      <w:szCs w:val="28"/>
    </w:rPr>
  </w:style>
  <w:style w:type="character" w:customStyle="1" w:styleId="A4">
    <w:name w:val="A4"/>
    <w:uiPriority w:val="99"/>
    <w:rsid w:val="00665F1F"/>
    <w:rPr>
      <w:rFonts w:ascii="Futura PT Book" w:hAnsi="Futura PT Book" w:cs="Futura PT Book"/>
      <w:color w:val="000000"/>
    </w:rPr>
  </w:style>
  <w:style w:type="character" w:customStyle="1" w:styleId="Heading1Char">
    <w:name w:val="Heading 1 Char"/>
    <w:basedOn w:val="DefaultParagraphFont"/>
    <w:link w:val="Heading1"/>
    <w:uiPriority w:val="9"/>
    <w:rsid w:val="0037767D"/>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C93705"/>
    <w:rPr>
      <w:b/>
      <w:bCs/>
    </w:rPr>
  </w:style>
  <w:style w:type="character" w:styleId="CommentReference">
    <w:name w:val="annotation reference"/>
    <w:basedOn w:val="DefaultParagraphFont"/>
    <w:uiPriority w:val="99"/>
    <w:semiHidden/>
    <w:unhideWhenUsed/>
    <w:rsid w:val="002C2BCD"/>
    <w:rPr>
      <w:sz w:val="16"/>
      <w:szCs w:val="16"/>
    </w:rPr>
  </w:style>
  <w:style w:type="paragraph" w:styleId="CommentText">
    <w:name w:val="annotation text"/>
    <w:basedOn w:val="Normal"/>
    <w:link w:val="CommentTextChar"/>
    <w:uiPriority w:val="99"/>
    <w:unhideWhenUsed/>
    <w:rsid w:val="002C2BCD"/>
    <w:rPr>
      <w:sz w:val="20"/>
      <w:szCs w:val="20"/>
    </w:rPr>
  </w:style>
  <w:style w:type="character" w:customStyle="1" w:styleId="CommentTextChar">
    <w:name w:val="Comment Text Char"/>
    <w:basedOn w:val="DefaultParagraphFont"/>
    <w:link w:val="CommentText"/>
    <w:uiPriority w:val="99"/>
    <w:rsid w:val="002C2BC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2BCD"/>
    <w:rPr>
      <w:b/>
      <w:bCs/>
    </w:rPr>
  </w:style>
  <w:style w:type="character" w:customStyle="1" w:styleId="CommentSubjectChar">
    <w:name w:val="Comment Subject Char"/>
    <w:basedOn w:val="CommentTextChar"/>
    <w:link w:val="CommentSubject"/>
    <w:uiPriority w:val="99"/>
    <w:semiHidden/>
    <w:rsid w:val="002C2BCD"/>
    <w:rPr>
      <w:rFonts w:ascii="Calibri" w:hAnsi="Calibri" w:cs="Times New Roman"/>
      <w:b/>
      <w:bCs/>
      <w:sz w:val="20"/>
      <w:szCs w:val="20"/>
    </w:rPr>
  </w:style>
  <w:style w:type="character" w:styleId="Emphasis">
    <w:name w:val="Emphasis"/>
    <w:basedOn w:val="DefaultParagraphFont"/>
    <w:uiPriority w:val="20"/>
    <w:qFormat/>
    <w:rsid w:val="00B65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716">
      <w:bodyDiv w:val="1"/>
      <w:marLeft w:val="0"/>
      <w:marRight w:val="0"/>
      <w:marTop w:val="0"/>
      <w:marBottom w:val="0"/>
      <w:divBdr>
        <w:top w:val="none" w:sz="0" w:space="0" w:color="auto"/>
        <w:left w:val="none" w:sz="0" w:space="0" w:color="auto"/>
        <w:bottom w:val="none" w:sz="0" w:space="0" w:color="auto"/>
        <w:right w:val="none" w:sz="0" w:space="0" w:color="auto"/>
      </w:divBdr>
    </w:div>
    <w:div w:id="1040664808">
      <w:bodyDiv w:val="1"/>
      <w:marLeft w:val="0"/>
      <w:marRight w:val="0"/>
      <w:marTop w:val="0"/>
      <w:marBottom w:val="0"/>
      <w:divBdr>
        <w:top w:val="none" w:sz="0" w:space="0" w:color="auto"/>
        <w:left w:val="none" w:sz="0" w:space="0" w:color="auto"/>
        <w:bottom w:val="none" w:sz="0" w:space="0" w:color="auto"/>
        <w:right w:val="none" w:sz="0" w:space="0" w:color="auto"/>
      </w:divBdr>
      <w:divsChild>
        <w:div w:id="1949044872">
          <w:marLeft w:val="0"/>
          <w:marRight w:val="0"/>
          <w:marTop w:val="0"/>
          <w:marBottom w:val="0"/>
          <w:divBdr>
            <w:top w:val="none" w:sz="0" w:space="0" w:color="auto"/>
            <w:left w:val="none" w:sz="0" w:space="0" w:color="auto"/>
            <w:bottom w:val="none" w:sz="0" w:space="0" w:color="auto"/>
            <w:right w:val="none" w:sz="0" w:space="0" w:color="auto"/>
          </w:divBdr>
          <w:divsChild>
            <w:div w:id="405079207">
              <w:marLeft w:val="0"/>
              <w:marRight w:val="0"/>
              <w:marTop w:val="0"/>
              <w:marBottom w:val="0"/>
              <w:divBdr>
                <w:top w:val="none" w:sz="0" w:space="0" w:color="auto"/>
                <w:left w:val="none" w:sz="0" w:space="0" w:color="auto"/>
                <w:bottom w:val="none" w:sz="0" w:space="0" w:color="auto"/>
                <w:right w:val="none" w:sz="0" w:space="0" w:color="auto"/>
              </w:divBdr>
              <w:divsChild>
                <w:div w:id="173488868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869760498">
      <w:bodyDiv w:val="1"/>
      <w:marLeft w:val="0"/>
      <w:marRight w:val="0"/>
      <w:marTop w:val="0"/>
      <w:marBottom w:val="0"/>
      <w:divBdr>
        <w:top w:val="none" w:sz="0" w:space="0" w:color="auto"/>
        <w:left w:val="none" w:sz="0" w:space="0" w:color="auto"/>
        <w:bottom w:val="none" w:sz="0" w:space="0" w:color="auto"/>
        <w:right w:val="none" w:sz="0" w:space="0" w:color="auto"/>
      </w:divBdr>
    </w:div>
    <w:div w:id="1919905165">
      <w:bodyDiv w:val="1"/>
      <w:marLeft w:val="0"/>
      <w:marRight w:val="0"/>
      <w:marTop w:val="0"/>
      <w:marBottom w:val="0"/>
      <w:divBdr>
        <w:top w:val="none" w:sz="0" w:space="0" w:color="auto"/>
        <w:left w:val="none" w:sz="0" w:space="0" w:color="auto"/>
        <w:bottom w:val="none" w:sz="0" w:space="0" w:color="auto"/>
        <w:right w:val="none" w:sz="0" w:space="0" w:color="auto"/>
      </w:divBdr>
      <w:divsChild>
        <w:div w:id="1779912285">
          <w:marLeft w:val="0"/>
          <w:marRight w:val="0"/>
          <w:marTop w:val="0"/>
          <w:marBottom w:val="0"/>
          <w:divBdr>
            <w:top w:val="none" w:sz="0" w:space="0" w:color="auto"/>
            <w:left w:val="none" w:sz="0" w:space="0" w:color="auto"/>
            <w:bottom w:val="none" w:sz="0" w:space="0" w:color="auto"/>
            <w:right w:val="none" w:sz="0" w:space="0" w:color="auto"/>
          </w:divBdr>
          <w:divsChild>
            <w:div w:id="165824553">
              <w:marLeft w:val="0"/>
              <w:marRight w:val="0"/>
              <w:marTop w:val="0"/>
              <w:marBottom w:val="0"/>
              <w:divBdr>
                <w:top w:val="none" w:sz="0" w:space="0" w:color="auto"/>
                <w:left w:val="none" w:sz="0" w:space="0" w:color="auto"/>
                <w:bottom w:val="none" w:sz="0" w:space="0" w:color="auto"/>
                <w:right w:val="none" w:sz="0" w:space="0" w:color="auto"/>
              </w:divBdr>
              <w:divsChild>
                <w:div w:id="861741469">
                  <w:marLeft w:val="0"/>
                  <w:marRight w:val="0"/>
                  <w:marTop w:val="0"/>
                  <w:marBottom w:val="0"/>
                  <w:divBdr>
                    <w:top w:val="none" w:sz="0" w:space="0" w:color="auto"/>
                    <w:left w:val="none" w:sz="0" w:space="0" w:color="auto"/>
                    <w:bottom w:val="none" w:sz="0" w:space="0" w:color="auto"/>
                    <w:right w:val="none" w:sz="0" w:space="0" w:color="auto"/>
                  </w:divBdr>
                  <w:divsChild>
                    <w:div w:id="1624192989">
                      <w:marLeft w:val="300"/>
                      <w:marRight w:val="0"/>
                      <w:marTop w:val="0"/>
                      <w:marBottom w:val="0"/>
                      <w:divBdr>
                        <w:top w:val="none" w:sz="0" w:space="0" w:color="auto"/>
                        <w:left w:val="none" w:sz="0" w:space="0" w:color="auto"/>
                        <w:bottom w:val="none" w:sz="0" w:space="0" w:color="auto"/>
                        <w:right w:val="none" w:sz="0" w:space="0" w:color="auto"/>
                      </w:divBdr>
                      <w:divsChild>
                        <w:div w:id="730810169">
                          <w:marLeft w:val="-300"/>
                          <w:marRight w:val="0"/>
                          <w:marTop w:val="0"/>
                          <w:marBottom w:val="0"/>
                          <w:divBdr>
                            <w:top w:val="none" w:sz="0" w:space="0" w:color="auto"/>
                            <w:left w:val="none" w:sz="0" w:space="0" w:color="auto"/>
                            <w:bottom w:val="none" w:sz="0" w:space="0" w:color="auto"/>
                            <w:right w:val="none" w:sz="0" w:space="0" w:color="auto"/>
                          </w:divBdr>
                          <w:divsChild>
                            <w:div w:id="904099892">
                              <w:marLeft w:val="0"/>
                              <w:marRight w:val="0"/>
                              <w:marTop w:val="0"/>
                              <w:marBottom w:val="0"/>
                              <w:divBdr>
                                <w:top w:val="none" w:sz="0" w:space="0" w:color="auto"/>
                                <w:left w:val="none" w:sz="0" w:space="0" w:color="auto"/>
                                <w:bottom w:val="none" w:sz="0" w:space="0" w:color="auto"/>
                                <w:right w:val="none" w:sz="0" w:space="0" w:color="auto"/>
                              </w:divBdr>
                            </w:div>
                            <w:div w:id="20944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36">
                  <w:marLeft w:val="300"/>
                  <w:marRight w:val="0"/>
                  <w:marTop w:val="0"/>
                  <w:marBottom w:val="0"/>
                  <w:divBdr>
                    <w:top w:val="none" w:sz="0" w:space="0" w:color="auto"/>
                    <w:left w:val="none" w:sz="0" w:space="0" w:color="auto"/>
                    <w:bottom w:val="none" w:sz="0" w:space="0" w:color="auto"/>
                    <w:right w:val="none" w:sz="0" w:space="0" w:color="auto"/>
                  </w:divBdr>
                  <w:divsChild>
                    <w:div w:id="131212100">
                      <w:marLeft w:val="-480"/>
                      <w:marRight w:val="0"/>
                      <w:marTop w:val="0"/>
                      <w:marBottom w:val="0"/>
                      <w:divBdr>
                        <w:top w:val="none" w:sz="0" w:space="0" w:color="auto"/>
                        <w:left w:val="none" w:sz="0" w:space="0" w:color="auto"/>
                        <w:bottom w:val="none" w:sz="0" w:space="0" w:color="auto"/>
                        <w:right w:val="none" w:sz="0" w:space="0" w:color="auto"/>
                      </w:divBdr>
                      <w:divsChild>
                        <w:div w:id="267126371">
                          <w:marLeft w:val="375"/>
                          <w:marRight w:val="0"/>
                          <w:marTop w:val="0"/>
                          <w:marBottom w:val="0"/>
                          <w:divBdr>
                            <w:top w:val="none" w:sz="0" w:space="0" w:color="auto"/>
                            <w:left w:val="none" w:sz="0" w:space="0" w:color="auto"/>
                            <w:bottom w:val="none" w:sz="0" w:space="0" w:color="auto"/>
                            <w:right w:val="none" w:sz="0" w:space="0" w:color="auto"/>
                          </w:divBdr>
                          <w:divsChild>
                            <w:div w:id="1176765831">
                              <w:marLeft w:val="0"/>
                              <w:marRight w:val="0"/>
                              <w:marTop w:val="0"/>
                              <w:marBottom w:val="0"/>
                              <w:divBdr>
                                <w:top w:val="none" w:sz="0" w:space="0" w:color="auto"/>
                                <w:left w:val="none" w:sz="0" w:space="0" w:color="auto"/>
                                <w:bottom w:val="none" w:sz="0" w:space="0" w:color="auto"/>
                                <w:right w:val="none" w:sz="0" w:space="0" w:color="auto"/>
                              </w:divBdr>
                              <w:divsChild>
                                <w:div w:id="554241364">
                                  <w:marLeft w:val="0"/>
                                  <w:marRight w:val="0"/>
                                  <w:marTop w:val="0"/>
                                  <w:marBottom w:val="0"/>
                                  <w:divBdr>
                                    <w:top w:val="none" w:sz="0" w:space="0" w:color="auto"/>
                                    <w:left w:val="none" w:sz="0" w:space="0" w:color="auto"/>
                                    <w:bottom w:val="none" w:sz="0" w:space="0" w:color="auto"/>
                                    <w:right w:val="none" w:sz="0" w:space="0" w:color="auto"/>
                                  </w:divBdr>
                                </w:div>
                                <w:div w:id="12769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lrc.gov.au/publication/pathways-to-justice-inquiry-into-the-incarceration-rate-of-aboriginal-and-torres-strait-islander-peoples-alrc-report-133/" TargetMode="External"/><Relationship Id="rId2" Type="http://schemas.openxmlformats.org/officeDocument/2006/relationships/hyperlink" Target="https://www.alrc.gov.au/publication/pathways-to-justice-inquiry-into-the-incarceration-rate-of-aboriginal-and-torres-strait-islander-peoples-alrc-report-133/" TargetMode="External"/><Relationship Id="rId1" Type="http://schemas.openxmlformats.org/officeDocument/2006/relationships/hyperlink" Target="http://www.austlii.edu.au/cgi-bin/viewdoc/au/cases/cth/HCA/1986/88.html" TargetMode="External"/><Relationship Id="rId5" Type="http://schemas.openxmlformats.org/officeDocument/2006/relationships/hyperlink" Target="https://www.alrc.gov.au/publication/pathways-to-justice-inquiry-into-the-incarceration-rate-of-aboriginal-and-torres-strait-islander-peoples-alrc-report-133/" TargetMode="External"/><Relationship Id="rId4" Type="http://schemas.openxmlformats.org/officeDocument/2006/relationships/hyperlink" Target="https://www.alrc.gov.au/publication/pathways-to-justice-inquiry-into-the-incarceration-rate-of-aboriginal-and-torres-strait-islander-peoples-alrc-report-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0ED2-EC81-4D4B-B846-BE02D01F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16</Pages>
  <Words>5982</Words>
  <Characters>34100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Karpeles</dc:creator>
  <cp:keywords/>
  <dc:description/>
  <cp:lastModifiedBy>Stephen Karpeles</cp:lastModifiedBy>
  <cp:revision>12</cp:revision>
  <dcterms:created xsi:type="dcterms:W3CDTF">2022-06-27T09:54:00Z</dcterms:created>
  <dcterms:modified xsi:type="dcterms:W3CDTF">2022-07-01T00:06:00Z</dcterms:modified>
</cp:coreProperties>
</file>