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F08" w:rsidRDefault="008E5F08" w:rsidP="00D20CDC">
      <w:pPr>
        <w:pStyle w:val="FootnoteText"/>
        <w:spacing w:after="300"/>
        <w:contextualSpacing/>
        <w:jc w:val="center"/>
        <w:rPr>
          <w:rFonts w:cs="Arial"/>
          <w:color w:val="auto"/>
          <w:spacing w:val="5"/>
          <w:kern w:val="28"/>
          <w:sz w:val="24"/>
          <w:szCs w:val="24"/>
          <w:lang w:val="en-US"/>
        </w:rPr>
      </w:pPr>
    </w:p>
    <w:p w:rsidR="008E5F08" w:rsidRDefault="008E5F08" w:rsidP="00D20CDC">
      <w:pPr>
        <w:pStyle w:val="FootnoteText"/>
        <w:spacing w:after="300"/>
        <w:contextualSpacing/>
        <w:jc w:val="center"/>
        <w:rPr>
          <w:rFonts w:cs="Arial"/>
          <w:color w:val="auto"/>
          <w:spacing w:val="5"/>
          <w:kern w:val="28"/>
          <w:sz w:val="24"/>
          <w:szCs w:val="24"/>
          <w:lang w:val="en-US"/>
        </w:rPr>
      </w:pPr>
    </w:p>
    <w:p w:rsidR="008E5F08" w:rsidRDefault="008E5F08" w:rsidP="00D20CDC">
      <w:pPr>
        <w:pStyle w:val="FootnoteText"/>
        <w:spacing w:after="300"/>
        <w:contextualSpacing/>
        <w:jc w:val="center"/>
        <w:rPr>
          <w:rFonts w:cs="Arial"/>
          <w:color w:val="auto"/>
          <w:spacing w:val="5"/>
          <w:kern w:val="28"/>
          <w:sz w:val="24"/>
          <w:szCs w:val="24"/>
          <w:lang w:val="en-US"/>
        </w:rPr>
      </w:pPr>
    </w:p>
    <w:p w:rsidR="008E5F08" w:rsidRDefault="008E5F08" w:rsidP="008E5F08">
      <w:pPr>
        <w:pStyle w:val="BodyText"/>
        <w:jc w:val="left"/>
        <w:rPr>
          <w:rFonts w:eastAsia="Times New Roman" w:cs="Arial"/>
          <w:b w:val="0"/>
          <w:spacing w:val="5"/>
          <w:kern w:val="28"/>
          <w:sz w:val="24"/>
          <w:szCs w:val="24"/>
          <w:lang w:val="en-US"/>
        </w:rPr>
      </w:pPr>
    </w:p>
    <w:p w:rsidR="008E5F08" w:rsidRPr="008E5F08" w:rsidRDefault="008E5F08" w:rsidP="008E5F08">
      <w:pPr>
        <w:pStyle w:val="BodyText"/>
        <w:ind w:left="-851" w:right="-483"/>
        <w:jc w:val="left"/>
        <w:rPr>
          <w:rFonts w:ascii="Gill Sans" w:hAnsi="Gill Sans"/>
          <w:b w:val="0"/>
          <w:sz w:val="21"/>
          <w:szCs w:val="24"/>
        </w:rPr>
      </w:pPr>
      <w:r w:rsidRPr="008D1A8D">
        <w:rPr>
          <w:rFonts w:ascii="Gill Sans" w:hAnsi="Gill Sans"/>
          <w:b w:val="0"/>
          <w:sz w:val="21"/>
          <w:szCs w:val="24"/>
        </w:rPr>
        <w:t xml:space="preserve">Patron: The Hon Justice Virginia Bell </w:t>
      </w:r>
      <w:r w:rsidRPr="008D1A8D">
        <w:rPr>
          <w:rFonts w:ascii="Gill Sans" w:hAnsi="Gill Sans"/>
          <w:b w:val="0"/>
          <w:color w:val="FF9900"/>
          <w:sz w:val="21"/>
          <w:szCs w:val="24"/>
        </w:rPr>
        <w:t>•</w:t>
      </w:r>
      <w:r w:rsidRPr="008D1A8D">
        <w:rPr>
          <w:rFonts w:ascii="Gill Sans" w:hAnsi="Gill Sans"/>
          <w:b w:val="0"/>
          <w:sz w:val="21"/>
          <w:szCs w:val="24"/>
        </w:rPr>
        <w:t xml:space="preserve"> President: </w:t>
      </w:r>
      <w:smartTag w:uri="urn:schemas-microsoft-com:office:smarttags" w:element="PersonName">
        <w:r w:rsidRPr="008D1A8D">
          <w:rPr>
            <w:rFonts w:ascii="Gill Sans" w:hAnsi="Gill Sans"/>
            <w:b w:val="0"/>
            <w:sz w:val="21"/>
            <w:szCs w:val="24"/>
          </w:rPr>
          <w:t>Russell Goldflam</w:t>
        </w:r>
      </w:smartTag>
      <w:r w:rsidRPr="008D1A8D">
        <w:rPr>
          <w:rFonts w:ascii="Gill Sans" w:hAnsi="Gill Sans"/>
          <w:b w:val="0"/>
          <w:sz w:val="21"/>
          <w:szCs w:val="24"/>
        </w:rPr>
        <w:t xml:space="preserve"> (telephone: 040 1119020)</w:t>
      </w:r>
      <w:r w:rsidRPr="008D1A8D">
        <w:rPr>
          <w:rFonts w:ascii="Gill Sans" w:hAnsi="Gill Sans"/>
          <w:color w:val="FF9900"/>
          <w:sz w:val="21"/>
          <w:szCs w:val="24"/>
        </w:rPr>
        <w:t>•</w:t>
      </w:r>
      <w:r>
        <w:rPr>
          <w:rFonts w:ascii="Gill Sans" w:hAnsi="Gill Sans"/>
          <w:color w:val="FF9900"/>
          <w:sz w:val="21"/>
          <w:szCs w:val="24"/>
        </w:rPr>
        <w:t xml:space="preserve"> </w:t>
      </w:r>
      <w:r w:rsidRPr="008E5F08">
        <w:rPr>
          <w:rFonts w:ascii="Gill Sans" w:hAnsi="Gill Sans"/>
          <w:b w:val="0"/>
          <w:sz w:val="21"/>
          <w:szCs w:val="24"/>
        </w:rPr>
        <w:t xml:space="preserve">Secretary: Isabella Maxwell-Williams (PO 969, </w:t>
      </w:r>
      <w:smartTag w:uri="urn:schemas-microsoft-com:office:smarttags" w:element="place">
        <w:smartTag w:uri="urn:schemas-microsoft-com:office:smarttags" w:element="City">
          <w:r w:rsidRPr="008E5F08">
            <w:rPr>
              <w:rFonts w:ascii="Gill Sans" w:hAnsi="Gill Sans"/>
              <w:b w:val="0"/>
              <w:sz w:val="21"/>
              <w:szCs w:val="24"/>
            </w:rPr>
            <w:t>ALICE SPRINGS</w:t>
          </w:r>
        </w:smartTag>
        <w:r w:rsidRPr="008E5F08">
          <w:rPr>
            <w:rFonts w:ascii="Gill Sans" w:hAnsi="Gill Sans"/>
            <w:b w:val="0"/>
            <w:sz w:val="21"/>
            <w:szCs w:val="24"/>
          </w:rPr>
          <w:t xml:space="preserve"> </w:t>
        </w:r>
        <w:smartTag w:uri="urn:schemas-microsoft-com:office:smarttags" w:element="State">
          <w:r w:rsidRPr="008E5F08">
            <w:rPr>
              <w:rFonts w:ascii="Gill Sans" w:hAnsi="Gill Sans"/>
              <w:b w:val="0"/>
              <w:sz w:val="21"/>
              <w:szCs w:val="24"/>
            </w:rPr>
            <w:t>NT</w:t>
          </w:r>
        </w:smartTag>
      </w:smartTag>
      <w:r w:rsidRPr="008E5F08">
        <w:rPr>
          <w:rFonts w:ascii="Gill Sans" w:hAnsi="Gill Sans"/>
          <w:b w:val="0"/>
          <w:sz w:val="21"/>
          <w:szCs w:val="24"/>
        </w:rPr>
        <w:t xml:space="preserve"> 0871</w:t>
      </w:r>
      <w:r>
        <w:rPr>
          <w:rFonts w:ascii="Gill Sans" w:hAnsi="Gill Sans"/>
          <w:b w:val="0"/>
          <w:sz w:val="21"/>
          <w:szCs w:val="24"/>
        </w:rPr>
        <w:t>)</w:t>
      </w:r>
      <w:r w:rsidRPr="008D1A8D">
        <w:rPr>
          <w:rFonts w:ascii="Gill Sans" w:hAnsi="Gill Sans"/>
          <w:color w:val="FF9900"/>
          <w:sz w:val="21"/>
          <w:szCs w:val="24"/>
        </w:rPr>
        <w:t>•</w:t>
      </w:r>
      <w:r w:rsidRPr="008D1A8D">
        <w:rPr>
          <w:rFonts w:ascii="Gill Sans" w:hAnsi="Gill Sans"/>
          <w:sz w:val="21"/>
          <w:szCs w:val="24"/>
        </w:rPr>
        <w:t xml:space="preserve"> </w:t>
      </w:r>
      <w:r w:rsidRPr="008E5F08">
        <w:rPr>
          <w:rFonts w:ascii="Gill Sans" w:hAnsi="Gill Sans"/>
          <w:b w:val="0"/>
          <w:sz w:val="21"/>
          <w:szCs w:val="24"/>
        </w:rPr>
        <w:t>www.clant.org.au</w:t>
      </w:r>
    </w:p>
    <w:p w:rsidR="008E5F08" w:rsidRDefault="008E5F08" w:rsidP="00D20CDC">
      <w:pPr>
        <w:pStyle w:val="FootnoteText"/>
        <w:spacing w:after="300"/>
        <w:contextualSpacing/>
        <w:jc w:val="center"/>
        <w:rPr>
          <w:rFonts w:cs="Arial"/>
          <w:color w:val="auto"/>
          <w:spacing w:val="5"/>
          <w:kern w:val="28"/>
          <w:sz w:val="24"/>
          <w:szCs w:val="24"/>
          <w:lang w:val="en-US"/>
        </w:rPr>
      </w:pPr>
    </w:p>
    <w:p w:rsidR="008E5F08" w:rsidRDefault="008E5F08" w:rsidP="00D20CDC">
      <w:pPr>
        <w:pStyle w:val="FootnoteText"/>
        <w:spacing w:after="300"/>
        <w:contextualSpacing/>
        <w:jc w:val="center"/>
        <w:rPr>
          <w:rFonts w:cs="Arial"/>
          <w:color w:val="auto"/>
          <w:spacing w:val="5"/>
          <w:kern w:val="28"/>
          <w:sz w:val="24"/>
          <w:szCs w:val="24"/>
          <w:lang w:val="en-US"/>
        </w:rPr>
      </w:pPr>
    </w:p>
    <w:p w:rsidR="00D20CDC" w:rsidRPr="008E5F08" w:rsidRDefault="008E5F08" w:rsidP="00D20CDC">
      <w:pPr>
        <w:pStyle w:val="FootnoteText"/>
        <w:spacing w:after="300"/>
        <w:contextualSpacing/>
        <w:jc w:val="center"/>
        <w:rPr>
          <w:rFonts w:cs="Arial"/>
          <w:color w:val="auto"/>
          <w:spacing w:val="5"/>
          <w:kern w:val="28"/>
          <w:sz w:val="32"/>
          <w:szCs w:val="24"/>
          <w:lang w:val="en-US"/>
        </w:rPr>
      </w:pPr>
      <w:r w:rsidRPr="008E5F08">
        <w:rPr>
          <w:rFonts w:cs="Arial"/>
          <w:noProof/>
          <w:color w:val="auto"/>
          <w:spacing w:val="5"/>
          <w:kern w:val="28"/>
          <w:sz w:val="32"/>
          <w:szCs w:val="24"/>
          <w:lang w:eastAsia="en-AU"/>
        </w:rPr>
        <w:drawing>
          <wp:anchor distT="0" distB="0" distL="114300" distR="114300" simplePos="0" relativeHeight="251658240" behindDoc="1" locked="1" layoutInCell="1" allowOverlap="1" wp14:anchorId="6D78CBE8" wp14:editId="4E337BEA">
            <wp:simplePos x="0" y="0"/>
            <wp:positionH relativeFrom="column">
              <wp:posOffset>-691515</wp:posOffset>
            </wp:positionH>
            <wp:positionV relativeFrom="page">
              <wp:posOffset>334010</wp:posOffset>
            </wp:positionV>
            <wp:extent cx="6629400" cy="1323340"/>
            <wp:effectExtent l="0" t="0" r="0" b="0"/>
            <wp:wrapNone/>
            <wp:docPr id="1" name="Picture 1" descr="CLANT_LH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NT_LH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0" cy="132334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CDC" w:rsidRPr="008E5F08">
        <w:rPr>
          <w:rFonts w:cs="Arial"/>
          <w:color w:val="auto"/>
          <w:spacing w:val="5"/>
          <w:kern w:val="28"/>
          <w:sz w:val="32"/>
          <w:szCs w:val="24"/>
          <w:lang w:val="en-US"/>
        </w:rPr>
        <w:t>CLANT Submission to</w:t>
      </w:r>
      <w:r>
        <w:rPr>
          <w:rFonts w:cs="Arial"/>
          <w:color w:val="auto"/>
          <w:spacing w:val="5"/>
          <w:kern w:val="28"/>
          <w:sz w:val="32"/>
          <w:szCs w:val="24"/>
          <w:lang w:val="en-US"/>
        </w:rPr>
        <w:t xml:space="preserve"> </w:t>
      </w:r>
      <w:r w:rsidR="00D20CDC" w:rsidRPr="008E5F08">
        <w:rPr>
          <w:rFonts w:cs="Arial"/>
          <w:color w:val="auto"/>
          <w:spacing w:val="5"/>
          <w:kern w:val="28"/>
          <w:sz w:val="32"/>
          <w:szCs w:val="24"/>
          <w:lang w:val="en-US"/>
        </w:rPr>
        <w:t>Domestic and Family Violence Proposals Issues Paper</w:t>
      </w:r>
    </w:p>
    <w:p w:rsidR="00D20CDC" w:rsidRPr="00667D09" w:rsidRDefault="008E5F08" w:rsidP="008E5F08">
      <w:pPr>
        <w:pStyle w:val="FootnoteText"/>
        <w:tabs>
          <w:tab w:val="left" w:pos="7080"/>
        </w:tabs>
        <w:spacing w:after="300"/>
        <w:contextualSpacing/>
        <w:rPr>
          <w:rFonts w:cs="Arial"/>
          <w:color w:val="auto"/>
          <w:spacing w:val="5"/>
          <w:kern w:val="28"/>
          <w:sz w:val="24"/>
          <w:szCs w:val="24"/>
          <w:lang w:val="en-US"/>
        </w:rPr>
      </w:pPr>
      <w:r>
        <w:rPr>
          <w:rFonts w:cs="Arial"/>
          <w:color w:val="auto"/>
          <w:spacing w:val="5"/>
          <w:kern w:val="28"/>
          <w:sz w:val="24"/>
          <w:szCs w:val="24"/>
          <w:lang w:val="en-US"/>
        </w:rPr>
        <w:tab/>
      </w:r>
    </w:p>
    <w:p w:rsidR="00D20CDC" w:rsidRPr="00667D09" w:rsidRDefault="008E5F08" w:rsidP="00D20CDC">
      <w:pPr>
        <w:pStyle w:val="FootnoteText"/>
        <w:spacing w:after="300"/>
        <w:contextualSpacing/>
        <w:jc w:val="center"/>
        <w:rPr>
          <w:rFonts w:cs="Arial"/>
          <w:color w:val="auto"/>
          <w:spacing w:val="5"/>
          <w:kern w:val="28"/>
          <w:sz w:val="24"/>
          <w:szCs w:val="24"/>
          <w:lang w:val="en-US"/>
        </w:rPr>
      </w:pPr>
      <w:r>
        <w:rPr>
          <w:rFonts w:cs="Arial"/>
          <w:color w:val="auto"/>
          <w:spacing w:val="5"/>
          <w:kern w:val="28"/>
          <w:sz w:val="24"/>
          <w:szCs w:val="24"/>
          <w:lang w:val="en-US"/>
        </w:rPr>
        <w:t>25</w:t>
      </w:r>
      <w:r w:rsidR="00816CF5">
        <w:rPr>
          <w:rFonts w:cs="Arial"/>
          <w:color w:val="auto"/>
          <w:spacing w:val="5"/>
          <w:kern w:val="28"/>
          <w:sz w:val="24"/>
          <w:szCs w:val="24"/>
          <w:lang w:val="en-US"/>
        </w:rPr>
        <w:t xml:space="preserve"> </w:t>
      </w:r>
      <w:r w:rsidR="00D20CDC" w:rsidRPr="00667D09">
        <w:rPr>
          <w:rFonts w:cs="Arial"/>
          <w:color w:val="auto"/>
          <w:spacing w:val="5"/>
          <w:kern w:val="28"/>
          <w:sz w:val="24"/>
          <w:szCs w:val="24"/>
          <w:lang w:val="en-US"/>
        </w:rPr>
        <w:t>November 2015</w:t>
      </w:r>
    </w:p>
    <w:p w:rsidR="00D20CDC" w:rsidRPr="00667D09" w:rsidRDefault="00D20CDC" w:rsidP="008E5F08">
      <w:pPr>
        <w:spacing w:after="200" w:line="276" w:lineRule="auto"/>
        <w:contextualSpacing/>
        <w:jc w:val="both"/>
        <w:rPr>
          <w:rFonts w:ascii="Arial" w:eastAsia="Calibri" w:hAnsi="Arial" w:cs="Arial"/>
          <w:b/>
          <w:lang w:val="en-US" w:eastAsia="en-US"/>
        </w:rPr>
      </w:pPr>
    </w:p>
    <w:p w:rsidR="00D20CDC" w:rsidRPr="005143CE" w:rsidRDefault="00D20CDC" w:rsidP="00D20CDC">
      <w:pPr>
        <w:numPr>
          <w:ilvl w:val="0"/>
          <w:numId w:val="3"/>
        </w:numPr>
        <w:spacing w:after="200" w:line="276" w:lineRule="auto"/>
        <w:contextualSpacing/>
        <w:jc w:val="both"/>
        <w:rPr>
          <w:rFonts w:ascii="Arial" w:hAnsi="Arial" w:cs="Arial"/>
          <w:color w:val="000000"/>
        </w:rPr>
      </w:pPr>
      <w:r w:rsidRPr="00667D09">
        <w:rPr>
          <w:rFonts w:ascii="Arial" w:eastAsia="Calibri" w:hAnsi="Arial" w:cs="Arial"/>
          <w:b/>
          <w:lang w:val="en-US" w:eastAsia="en-US"/>
        </w:rPr>
        <w:t>Do you think the introduction of a law similar to Clare’s Law in NT would succeed in its aim of protecting people who are at risk of domestic and family violence from someone with a history of violent behavior?</w:t>
      </w:r>
    </w:p>
    <w:p w:rsidR="00D20CDC" w:rsidRPr="00667D09" w:rsidRDefault="00D20CDC" w:rsidP="00D20CDC">
      <w:pPr>
        <w:spacing w:after="200" w:line="276" w:lineRule="auto"/>
        <w:ind w:left="360"/>
        <w:contextualSpacing/>
        <w:jc w:val="both"/>
        <w:rPr>
          <w:rFonts w:ascii="Arial" w:hAnsi="Arial" w:cs="Arial"/>
          <w:color w:val="000000"/>
        </w:rPr>
      </w:pPr>
    </w:p>
    <w:p w:rsidR="00D16D07" w:rsidRDefault="00D16D07" w:rsidP="00D20CDC">
      <w:pPr>
        <w:spacing w:after="200" w:line="276" w:lineRule="auto"/>
        <w:contextualSpacing/>
        <w:jc w:val="both"/>
        <w:rPr>
          <w:rFonts w:ascii="Arial" w:hAnsi="Arial" w:cs="Arial"/>
          <w:color w:val="000000"/>
        </w:rPr>
      </w:pPr>
      <w:r>
        <w:rPr>
          <w:rFonts w:ascii="Arial" w:hAnsi="Arial" w:cs="Arial"/>
          <w:color w:val="000000"/>
        </w:rPr>
        <w:t>Possibly, but further informatio</w:t>
      </w:r>
      <w:r w:rsidR="00816CF5">
        <w:rPr>
          <w:rFonts w:ascii="Arial" w:hAnsi="Arial" w:cs="Arial"/>
          <w:color w:val="000000"/>
        </w:rPr>
        <w:t>n is needed before adopting such a</w:t>
      </w:r>
      <w:r>
        <w:rPr>
          <w:rFonts w:ascii="Arial" w:hAnsi="Arial" w:cs="Arial"/>
          <w:color w:val="000000"/>
        </w:rPr>
        <w:t xml:space="preserve"> scheme</w:t>
      </w:r>
      <w:r w:rsidR="007E1C10">
        <w:rPr>
          <w:rFonts w:ascii="Arial" w:hAnsi="Arial" w:cs="Arial"/>
          <w:color w:val="000000"/>
        </w:rPr>
        <w:t xml:space="preserve">.  </w:t>
      </w:r>
    </w:p>
    <w:p w:rsidR="00D16D07" w:rsidRDefault="00D16D07" w:rsidP="00D20CDC">
      <w:pPr>
        <w:spacing w:after="200" w:line="276" w:lineRule="auto"/>
        <w:contextualSpacing/>
        <w:jc w:val="both"/>
        <w:rPr>
          <w:rFonts w:ascii="Arial" w:hAnsi="Arial" w:cs="Arial"/>
          <w:color w:val="000000"/>
        </w:rPr>
      </w:pPr>
    </w:p>
    <w:p w:rsidR="00D20CDC" w:rsidRDefault="00D16D07" w:rsidP="00D20CDC">
      <w:pPr>
        <w:spacing w:after="200" w:line="276" w:lineRule="auto"/>
        <w:contextualSpacing/>
        <w:jc w:val="both"/>
        <w:rPr>
          <w:rFonts w:ascii="Arial" w:hAnsi="Arial" w:cs="Arial"/>
          <w:color w:val="000000"/>
        </w:rPr>
      </w:pPr>
      <w:r>
        <w:rPr>
          <w:rFonts w:ascii="Arial" w:hAnsi="Arial" w:cs="Arial"/>
          <w:color w:val="000000"/>
        </w:rPr>
        <w:t>The</w:t>
      </w:r>
      <w:r w:rsidR="007E1C10">
        <w:rPr>
          <w:rFonts w:ascii="Arial" w:hAnsi="Arial" w:cs="Arial"/>
          <w:color w:val="000000"/>
        </w:rPr>
        <w:t xml:space="preserve"> </w:t>
      </w:r>
      <w:hyperlink r:id="rId10" w:history="1">
        <w:r w:rsidR="007E1C10" w:rsidRPr="00967517">
          <w:rPr>
            <w:rStyle w:val="Hyperlink"/>
            <w:rFonts w:ascii="Arial" w:hAnsi="Arial" w:cs="Arial"/>
          </w:rPr>
          <w:t xml:space="preserve">pilot of </w:t>
        </w:r>
        <w:r w:rsidRPr="00967517">
          <w:rPr>
            <w:rStyle w:val="Hyperlink"/>
            <w:rFonts w:ascii="Arial" w:hAnsi="Arial" w:cs="Arial"/>
          </w:rPr>
          <w:t xml:space="preserve">the </w:t>
        </w:r>
        <w:r w:rsidR="00816CF5" w:rsidRPr="00967517">
          <w:rPr>
            <w:rStyle w:val="Hyperlink"/>
            <w:rFonts w:ascii="Arial" w:hAnsi="Arial" w:cs="Arial"/>
          </w:rPr>
          <w:t xml:space="preserve">UK </w:t>
        </w:r>
        <w:r w:rsidRPr="00967517">
          <w:rPr>
            <w:rStyle w:val="Hyperlink"/>
            <w:rFonts w:ascii="Arial" w:hAnsi="Arial" w:cs="Arial"/>
          </w:rPr>
          <w:t>Domestic Violence Disclosure Scheme</w:t>
        </w:r>
      </w:hyperlink>
      <w:r>
        <w:rPr>
          <w:rFonts w:ascii="Arial" w:hAnsi="Arial" w:cs="Arial"/>
          <w:color w:val="000000"/>
        </w:rPr>
        <w:t xml:space="preserve"> (DVDS) </w:t>
      </w:r>
      <w:r w:rsidR="007E1C10">
        <w:rPr>
          <w:rFonts w:ascii="Arial" w:hAnsi="Arial" w:cs="Arial"/>
          <w:color w:val="000000"/>
        </w:rPr>
        <w:t>was undertaken over four of the 48 police f</w:t>
      </w:r>
      <w:r>
        <w:rPr>
          <w:rFonts w:ascii="Arial" w:hAnsi="Arial" w:cs="Arial"/>
          <w:color w:val="000000"/>
        </w:rPr>
        <w:t>orce areas in England and Wales.  The ensuing evaluation</w:t>
      </w:r>
      <w:r w:rsidR="00D20CDC" w:rsidRPr="00667D09">
        <w:rPr>
          <w:rFonts w:ascii="Arial" w:hAnsi="Arial" w:cs="Arial"/>
          <w:color w:val="000000"/>
        </w:rPr>
        <w:t xml:space="preserve"> </w:t>
      </w:r>
      <w:r w:rsidR="007E1C10">
        <w:rPr>
          <w:rFonts w:ascii="Arial" w:hAnsi="Arial" w:cs="Arial"/>
          <w:color w:val="000000"/>
        </w:rPr>
        <w:t>was limited: it did not report on outcomes, and in particular on whether</w:t>
      </w:r>
      <w:r w:rsidR="00D20CDC">
        <w:rPr>
          <w:rFonts w:ascii="Arial" w:hAnsi="Arial" w:cs="Arial"/>
          <w:color w:val="000000"/>
        </w:rPr>
        <w:t xml:space="preserve"> </w:t>
      </w:r>
      <w:r>
        <w:rPr>
          <w:rFonts w:ascii="Arial" w:hAnsi="Arial" w:cs="Arial"/>
          <w:color w:val="000000"/>
        </w:rPr>
        <w:t xml:space="preserve">the DVDS reduced </w:t>
      </w:r>
      <w:r w:rsidR="00D20CDC">
        <w:rPr>
          <w:rFonts w:ascii="Arial" w:hAnsi="Arial" w:cs="Arial"/>
          <w:color w:val="000000"/>
        </w:rPr>
        <w:t>domestic violence.</w:t>
      </w:r>
      <w:r w:rsidR="007E1C10">
        <w:rPr>
          <w:rFonts w:ascii="Arial" w:hAnsi="Arial" w:cs="Arial"/>
          <w:color w:val="000000"/>
        </w:rPr>
        <w:t xml:space="preserve">  No evaluation of the national scheme has </w:t>
      </w:r>
      <w:r w:rsidR="00D20CDC">
        <w:rPr>
          <w:rFonts w:ascii="Arial" w:hAnsi="Arial" w:cs="Arial"/>
          <w:color w:val="000000"/>
        </w:rPr>
        <w:t xml:space="preserve">been </w:t>
      </w:r>
      <w:r w:rsidR="007E1C10">
        <w:rPr>
          <w:rFonts w:ascii="Arial" w:hAnsi="Arial" w:cs="Arial"/>
          <w:color w:val="000000"/>
        </w:rPr>
        <w:t>conducted</w:t>
      </w:r>
      <w:r w:rsidR="00D20CDC">
        <w:rPr>
          <w:rFonts w:ascii="Arial" w:hAnsi="Arial" w:cs="Arial"/>
          <w:color w:val="000000"/>
        </w:rPr>
        <w:t xml:space="preserve">.  </w:t>
      </w:r>
      <w:r w:rsidR="00D20CDC" w:rsidRPr="00667D09">
        <w:rPr>
          <w:rFonts w:ascii="Arial" w:hAnsi="Arial" w:cs="Arial"/>
          <w:color w:val="000000"/>
        </w:rPr>
        <w:t>It is difficult therefore to predict the success of such a law in the NT.</w:t>
      </w:r>
    </w:p>
    <w:p w:rsidR="00D16D07" w:rsidRDefault="00D16D07" w:rsidP="00D20CDC">
      <w:pPr>
        <w:spacing w:after="200" w:line="276" w:lineRule="auto"/>
        <w:contextualSpacing/>
        <w:jc w:val="both"/>
        <w:rPr>
          <w:rFonts w:ascii="Arial" w:hAnsi="Arial" w:cs="Arial"/>
          <w:color w:val="000000"/>
        </w:rPr>
      </w:pPr>
    </w:p>
    <w:p w:rsidR="00D16D07" w:rsidRPr="00667D09" w:rsidRDefault="00D16D07" w:rsidP="00D20CDC">
      <w:pPr>
        <w:spacing w:after="200" w:line="276" w:lineRule="auto"/>
        <w:contextualSpacing/>
        <w:jc w:val="both"/>
        <w:rPr>
          <w:rFonts w:ascii="Arial" w:hAnsi="Arial" w:cs="Arial"/>
          <w:color w:val="000000"/>
        </w:rPr>
      </w:pPr>
      <w:r>
        <w:rPr>
          <w:rFonts w:ascii="Arial" w:hAnsi="Arial" w:cs="Arial"/>
          <w:color w:val="000000"/>
        </w:rPr>
        <w:t xml:space="preserve">The NSW government has conducted </w:t>
      </w:r>
      <w:hyperlink r:id="rId11" w:history="1">
        <w:r w:rsidRPr="00967517">
          <w:rPr>
            <w:rStyle w:val="Hyperlink"/>
            <w:rFonts w:ascii="Arial" w:hAnsi="Arial" w:cs="Arial"/>
          </w:rPr>
          <w:t>consultations with the community and stakeholders</w:t>
        </w:r>
      </w:hyperlink>
      <w:r>
        <w:rPr>
          <w:rFonts w:ascii="Arial" w:hAnsi="Arial" w:cs="Arial"/>
          <w:color w:val="000000"/>
        </w:rPr>
        <w:t xml:space="preserve"> in that jurisdiction with a view to establishing a DVDS.  The NT should closely observe the outcome of that initiative, and b</w:t>
      </w:r>
      <w:r w:rsidR="005E35C6">
        <w:rPr>
          <w:rFonts w:ascii="Arial" w:hAnsi="Arial" w:cs="Arial"/>
          <w:color w:val="000000"/>
        </w:rPr>
        <w:t xml:space="preserve">e guided by the NSW experience.  </w:t>
      </w:r>
    </w:p>
    <w:p w:rsidR="00D20CDC" w:rsidRDefault="00D20CDC" w:rsidP="00D20CDC">
      <w:pPr>
        <w:spacing w:after="200" w:line="276" w:lineRule="auto"/>
        <w:contextualSpacing/>
        <w:jc w:val="both"/>
        <w:rPr>
          <w:rFonts w:ascii="Arial" w:eastAsia="Calibri" w:hAnsi="Arial" w:cs="Arial"/>
          <w:lang w:val="en-US" w:eastAsia="en-US"/>
        </w:rPr>
      </w:pPr>
    </w:p>
    <w:p w:rsidR="00D16D07" w:rsidRDefault="00D20CDC" w:rsidP="00D20CDC">
      <w:pPr>
        <w:spacing w:after="200" w:line="276" w:lineRule="auto"/>
        <w:jc w:val="both"/>
        <w:rPr>
          <w:rFonts w:ascii="Arial" w:eastAsia="Calibri" w:hAnsi="Arial" w:cs="Arial"/>
          <w:lang w:eastAsia="en-US"/>
        </w:rPr>
      </w:pPr>
      <w:r>
        <w:rPr>
          <w:rFonts w:ascii="Arial" w:eastAsia="Calibri" w:hAnsi="Arial" w:cs="Arial"/>
          <w:lang w:eastAsia="en-US"/>
        </w:rPr>
        <w:t xml:space="preserve">The Northern Territory’s </w:t>
      </w:r>
      <w:hyperlink r:id="rId12" w:history="1">
        <w:r w:rsidRPr="00967517">
          <w:rPr>
            <w:rStyle w:val="Hyperlink"/>
            <w:rFonts w:ascii="Arial" w:eastAsia="Calibri" w:hAnsi="Arial" w:cs="Arial"/>
            <w:lang w:eastAsia="en-US"/>
          </w:rPr>
          <w:t>Domestic and Family Violence Reduction Strategy</w:t>
        </w:r>
      </w:hyperlink>
      <w:r>
        <w:rPr>
          <w:rFonts w:ascii="Arial" w:eastAsia="Calibri" w:hAnsi="Arial" w:cs="Arial"/>
          <w:lang w:eastAsia="en-US"/>
        </w:rPr>
        <w:t xml:space="preserve"> </w:t>
      </w:r>
      <w:r w:rsidR="00D16D07">
        <w:rPr>
          <w:rFonts w:ascii="Arial" w:eastAsia="Calibri" w:hAnsi="Arial" w:cs="Arial"/>
          <w:lang w:eastAsia="en-US"/>
        </w:rPr>
        <w:t xml:space="preserve">(DFVRS) </w:t>
      </w:r>
      <w:r>
        <w:rPr>
          <w:rFonts w:ascii="Arial" w:eastAsia="Calibri" w:hAnsi="Arial" w:cs="Arial"/>
          <w:lang w:eastAsia="en-US"/>
        </w:rPr>
        <w:t xml:space="preserve">incorporates the Integrated Response to Domestic and Family Violence, a multi-agency approach which was developed and successfully trialled in Alice Springs, and is now being rolled out across the Territory.  It includes the </w:t>
      </w:r>
      <w:hyperlink r:id="rId13" w:history="1">
        <w:r w:rsidRPr="00967517">
          <w:rPr>
            <w:rStyle w:val="Hyperlink"/>
            <w:rFonts w:ascii="Arial" w:eastAsia="Calibri" w:hAnsi="Arial" w:cs="Arial"/>
            <w:lang w:eastAsia="en-US"/>
          </w:rPr>
          <w:t>Family Safety Framework</w:t>
        </w:r>
      </w:hyperlink>
      <w:r>
        <w:rPr>
          <w:rFonts w:ascii="Arial" w:eastAsia="Calibri" w:hAnsi="Arial" w:cs="Arial"/>
          <w:lang w:eastAsia="en-US"/>
        </w:rPr>
        <w:t>, which identifies people at high risk of domestic and family violence and plans interventions to minimise those risks.  These measures, which are subject to continuous review and monitoring</w:t>
      </w:r>
      <w:r w:rsidR="00D16D07">
        <w:rPr>
          <w:rFonts w:ascii="Arial" w:eastAsia="Calibri" w:hAnsi="Arial" w:cs="Arial"/>
          <w:lang w:eastAsia="en-US"/>
        </w:rPr>
        <w:t xml:space="preserve"> by Local Reference Groups, are</w:t>
      </w:r>
      <w:r>
        <w:rPr>
          <w:rFonts w:ascii="Arial" w:eastAsia="Calibri" w:hAnsi="Arial" w:cs="Arial"/>
          <w:lang w:eastAsia="en-US"/>
        </w:rPr>
        <w:t xml:space="preserve"> appropriate and adapted to meet the objective of reducing domestic and family violence in the Northern Te</w:t>
      </w:r>
      <w:r w:rsidR="00D16D07">
        <w:rPr>
          <w:rFonts w:ascii="Arial" w:eastAsia="Calibri" w:hAnsi="Arial" w:cs="Arial"/>
          <w:lang w:eastAsia="en-US"/>
        </w:rPr>
        <w:t>rritory.  They may well obviate the need to introduce a DVDS.</w:t>
      </w:r>
    </w:p>
    <w:p w:rsidR="00D20CDC" w:rsidRDefault="00D16D07" w:rsidP="00D20CDC">
      <w:pPr>
        <w:spacing w:after="200" w:line="276" w:lineRule="auto"/>
        <w:jc w:val="both"/>
        <w:rPr>
          <w:rFonts w:ascii="Arial" w:eastAsia="Calibri" w:hAnsi="Arial" w:cs="Arial"/>
          <w:lang w:eastAsia="en-US"/>
        </w:rPr>
      </w:pPr>
      <w:r>
        <w:rPr>
          <w:rFonts w:ascii="Arial" w:eastAsia="Calibri" w:hAnsi="Arial" w:cs="Arial"/>
          <w:lang w:eastAsia="en-US"/>
        </w:rPr>
        <w:lastRenderedPageBreak/>
        <w:t>All decisions to develop, trial, implement and evaluate a DVDS, as with any major new legal initiative in relation to domestic violence in the NT, should be undertaken within the DFVRS framework</w:t>
      </w:r>
      <w:r w:rsidR="00B574A2">
        <w:rPr>
          <w:rFonts w:ascii="Arial" w:eastAsia="Calibri" w:hAnsi="Arial" w:cs="Arial"/>
          <w:lang w:eastAsia="en-US"/>
        </w:rPr>
        <w:t>, which is both robust and designed to be responsive to local circumstances and needs across the Territory</w:t>
      </w:r>
      <w:r>
        <w:rPr>
          <w:rFonts w:ascii="Arial" w:eastAsia="Calibri" w:hAnsi="Arial" w:cs="Arial"/>
          <w:lang w:eastAsia="en-US"/>
        </w:rPr>
        <w:t xml:space="preserve">. </w:t>
      </w:r>
      <w:r w:rsidR="00D20CDC">
        <w:rPr>
          <w:rFonts w:ascii="Arial" w:eastAsia="Calibri" w:hAnsi="Arial" w:cs="Arial"/>
          <w:lang w:eastAsia="en-US"/>
        </w:rPr>
        <w:t xml:space="preserve">      </w:t>
      </w:r>
    </w:p>
    <w:p w:rsidR="007C7537" w:rsidRDefault="007C7537" w:rsidP="00D20CDC">
      <w:pPr>
        <w:spacing w:after="200" w:line="276" w:lineRule="auto"/>
        <w:jc w:val="both"/>
        <w:rPr>
          <w:rFonts w:ascii="Arial" w:eastAsia="Calibri" w:hAnsi="Arial" w:cs="Arial"/>
          <w:lang w:eastAsia="en-US"/>
        </w:rPr>
      </w:pPr>
      <w:r>
        <w:rPr>
          <w:rFonts w:ascii="Arial" w:eastAsia="Calibri" w:hAnsi="Arial" w:cs="Arial"/>
          <w:lang w:eastAsia="en-US"/>
        </w:rPr>
        <w:t>CLANT has strongly opposed the passage of “Daniel’s Law”,</w:t>
      </w:r>
      <w:r w:rsidR="00A23CB6">
        <w:rPr>
          <w:rStyle w:val="FootnoteReference"/>
          <w:rFonts w:ascii="Arial" w:eastAsia="Calibri" w:hAnsi="Arial"/>
          <w:lang w:eastAsia="en-US"/>
        </w:rPr>
        <w:footnoteReference w:id="1"/>
      </w:r>
      <w:r>
        <w:rPr>
          <w:rFonts w:ascii="Arial" w:eastAsia="Calibri" w:hAnsi="Arial" w:cs="Arial"/>
          <w:lang w:eastAsia="en-US"/>
        </w:rPr>
        <w:t xml:space="preserve"> which on its face bears some similarities to “Clare’s Law”.  Both schemes </w:t>
      </w:r>
      <w:r w:rsidR="00A23CB6">
        <w:rPr>
          <w:rFonts w:ascii="Arial" w:eastAsia="Calibri" w:hAnsi="Arial" w:cs="Arial"/>
          <w:lang w:eastAsia="en-US"/>
        </w:rPr>
        <w:t>appear at first blush to offer increased protection to victims, because the</w:t>
      </w:r>
      <w:r w:rsidR="00816CF5">
        <w:rPr>
          <w:rFonts w:ascii="Arial" w:eastAsia="Calibri" w:hAnsi="Arial" w:cs="Arial"/>
          <w:lang w:eastAsia="en-US"/>
        </w:rPr>
        <w:t>y expose</w:t>
      </w:r>
      <w:r w:rsidR="00A23CB6">
        <w:rPr>
          <w:rFonts w:ascii="Arial" w:eastAsia="Calibri" w:hAnsi="Arial" w:cs="Arial"/>
          <w:lang w:eastAsia="en-US"/>
        </w:rPr>
        <w:t xml:space="preserve"> offenders.  However, if the evidence (as has been proven to be the case with the US schemes on which Daniel’s Law has been modelled) does not support a conclusion that such protection is in fact conferred, such schemes can do more harm than good, by distracting attention from the need to put in place more effec</w:t>
      </w:r>
      <w:r w:rsidR="005E35C6">
        <w:rPr>
          <w:rFonts w:ascii="Arial" w:eastAsia="Calibri" w:hAnsi="Arial" w:cs="Arial"/>
          <w:lang w:eastAsia="en-US"/>
        </w:rPr>
        <w:t>tive methods to protect victims.  Placing a perpetrator’s name on a list does not necessarily reduce the risk of re-offending, and is no substitute for more practical measures to protect victims.</w:t>
      </w:r>
    </w:p>
    <w:p w:rsidR="00A23CB6" w:rsidRPr="00E55A44" w:rsidRDefault="00A23CB6" w:rsidP="00D20CDC">
      <w:pPr>
        <w:spacing w:after="200" w:line="276" w:lineRule="auto"/>
        <w:jc w:val="both"/>
        <w:rPr>
          <w:rFonts w:ascii="Arial" w:eastAsia="Calibri" w:hAnsi="Arial" w:cs="Arial"/>
          <w:lang w:eastAsia="en-US"/>
        </w:rPr>
      </w:pPr>
      <w:r>
        <w:rPr>
          <w:rFonts w:ascii="Arial" w:eastAsia="Calibri" w:hAnsi="Arial" w:cs="Arial"/>
          <w:lang w:eastAsia="en-US"/>
        </w:rPr>
        <w:t xml:space="preserve">As an aside, CLANT cautions against the apparent trend to memorialise victims of crime by naming enactments after them.  This practice injects an unhelpful </w:t>
      </w:r>
      <w:r w:rsidR="0086433D">
        <w:rPr>
          <w:rFonts w:ascii="Arial" w:eastAsia="Calibri" w:hAnsi="Arial" w:cs="Arial"/>
          <w:lang w:eastAsia="en-US"/>
        </w:rPr>
        <w:t xml:space="preserve">and gratuitously </w:t>
      </w:r>
      <w:r>
        <w:rPr>
          <w:rFonts w:ascii="Arial" w:eastAsia="Calibri" w:hAnsi="Arial" w:cs="Arial"/>
          <w:lang w:eastAsia="en-US"/>
        </w:rPr>
        <w:t>subjective element into what should be a rigorously objective examination and debate regarding the risks, costs and benefits of the proposed legislation.</w:t>
      </w:r>
    </w:p>
    <w:p w:rsidR="00D20CDC" w:rsidRPr="00667D09" w:rsidRDefault="00D20CDC" w:rsidP="00D20CDC">
      <w:pPr>
        <w:numPr>
          <w:ilvl w:val="0"/>
          <w:numId w:val="3"/>
        </w:numPr>
        <w:spacing w:after="200" w:line="276" w:lineRule="auto"/>
        <w:contextualSpacing/>
        <w:jc w:val="both"/>
        <w:rPr>
          <w:rFonts w:ascii="Arial" w:eastAsia="Calibri" w:hAnsi="Arial" w:cs="Arial"/>
          <w:b/>
          <w:lang w:val="en-US" w:eastAsia="en-US"/>
        </w:rPr>
      </w:pPr>
      <w:r w:rsidRPr="00667D09">
        <w:rPr>
          <w:rFonts w:ascii="Arial" w:eastAsia="Calibri" w:hAnsi="Arial" w:cs="Arial"/>
          <w:b/>
          <w:lang w:val="en-US" w:eastAsia="en-US"/>
        </w:rPr>
        <w:t>Do you think that there are any specific factors that should be considered or modifications to Clare’s law that would be required in the Northern Territory Context?</w:t>
      </w:r>
    </w:p>
    <w:p w:rsidR="00D20CDC" w:rsidRDefault="00D20CDC" w:rsidP="00D20CDC">
      <w:pPr>
        <w:spacing w:after="200" w:line="276" w:lineRule="auto"/>
        <w:ind w:left="720"/>
        <w:contextualSpacing/>
        <w:jc w:val="both"/>
        <w:rPr>
          <w:rFonts w:ascii="Arial" w:hAnsi="Arial" w:cs="Arial"/>
          <w:color w:val="000000"/>
        </w:rPr>
      </w:pPr>
    </w:p>
    <w:p w:rsidR="00B574A2" w:rsidRDefault="00B574A2" w:rsidP="00B574A2">
      <w:pPr>
        <w:spacing w:after="200" w:line="276" w:lineRule="auto"/>
        <w:contextualSpacing/>
        <w:jc w:val="both"/>
        <w:rPr>
          <w:rFonts w:ascii="Arial" w:hAnsi="Arial" w:cs="Arial"/>
          <w:color w:val="000000"/>
        </w:rPr>
      </w:pPr>
      <w:r>
        <w:rPr>
          <w:rFonts w:ascii="Arial" w:hAnsi="Arial" w:cs="Arial"/>
          <w:color w:val="000000"/>
        </w:rPr>
        <w:t>See previous response.</w:t>
      </w:r>
    </w:p>
    <w:p w:rsidR="00B574A2" w:rsidRPr="00667D09" w:rsidRDefault="00B574A2" w:rsidP="00D20CDC">
      <w:pPr>
        <w:spacing w:after="200" w:line="276" w:lineRule="auto"/>
        <w:ind w:left="720"/>
        <w:contextualSpacing/>
        <w:jc w:val="both"/>
        <w:rPr>
          <w:rFonts w:ascii="Arial" w:eastAsia="Calibri" w:hAnsi="Arial" w:cs="Arial"/>
          <w:b/>
          <w:lang w:val="en-US" w:eastAsia="en-US"/>
        </w:rPr>
      </w:pPr>
    </w:p>
    <w:p w:rsidR="00D20CDC" w:rsidRPr="00667D09" w:rsidRDefault="00D20CDC" w:rsidP="00D20CDC">
      <w:pPr>
        <w:numPr>
          <w:ilvl w:val="0"/>
          <w:numId w:val="3"/>
        </w:numPr>
        <w:spacing w:after="200" w:line="276" w:lineRule="auto"/>
        <w:contextualSpacing/>
        <w:jc w:val="both"/>
        <w:rPr>
          <w:rFonts w:ascii="Arial" w:eastAsia="Calibri" w:hAnsi="Arial" w:cs="Arial"/>
          <w:b/>
          <w:lang w:val="en-US" w:eastAsia="en-US"/>
        </w:rPr>
      </w:pPr>
      <w:r w:rsidRPr="00667D09">
        <w:rPr>
          <w:rFonts w:ascii="Arial" w:eastAsia="Calibri" w:hAnsi="Arial" w:cs="Arial"/>
          <w:b/>
          <w:lang w:val="en-US" w:eastAsia="en-US"/>
        </w:rPr>
        <w:t>Do you consider that there are other alternatives which would better achieve the aim of protecting people at risk of domestic and family violence from someone with a history of violent behavior?</w:t>
      </w:r>
    </w:p>
    <w:p w:rsidR="00B574A2" w:rsidRDefault="00B574A2" w:rsidP="00D20CDC">
      <w:pPr>
        <w:spacing w:after="200" w:line="276" w:lineRule="auto"/>
        <w:contextualSpacing/>
        <w:jc w:val="both"/>
        <w:rPr>
          <w:rFonts w:ascii="Arial" w:eastAsia="Calibri" w:hAnsi="Arial" w:cs="Arial"/>
          <w:lang w:val="en-US" w:eastAsia="en-US"/>
        </w:rPr>
      </w:pPr>
    </w:p>
    <w:p w:rsidR="00D20CDC" w:rsidRPr="00B574A2" w:rsidRDefault="00B574A2" w:rsidP="00D20CDC">
      <w:pPr>
        <w:spacing w:after="200" w:line="276" w:lineRule="auto"/>
        <w:contextualSpacing/>
        <w:jc w:val="both"/>
        <w:rPr>
          <w:rFonts w:ascii="Arial" w:eastAsia="Calibri" w:hAnsi="Arial" w:cs="Arial"/>
          <w:lang w:val="en-US" w:eastAsia="en-US"/>
        </w:rPr>
      </w:pPr>
      <w:r w:rsidRPr="00B574A2">
        <w:rPr>
          <w:rFonts w:ascii="Arial" w:eastAsia="Calibri" w:hAnsi="Arial" w:cs="Arial"/>
          <w:lang w:val="en-US" w:eastAsia="en-US"/>
        </w:rPr>
        <w:t>See previous response.</w:t>
      </w:r>
    </w:p>
    <w:p w:rsidR="00D20CDC" w:rsidRPr="00667D09" w:rsidRDefault="00D20CDC" w:rsidP="00D20CDC">
      <w:pPr>
        <w:spacing w:after="200" w:line="276" w:lineRule="auto"/>
        <w:ind w:left="720"/>
        <w:contextualSpacing/>
        <w:jc w:val="both"/>
        <w:rPr>
          <w:rFonts w:ascii="Arial" w:eastAsia="Calibri" w:hAnsi="Arial" w:cs="Arial"/>
          <w:lang w:val="en-US" w:eastAsia="en-US"/>
        </w:rPr>
      </w:pPr>
    </w:p>
    <w:p w:rsidR="00D20CDC" w:rsidRPr="00667D09" w:rsidRDefault="00D20CDC" w:rsidP="00D20CDC">
      <w:pPr>
        <w:numPr>
          <w:ilvl w:val="0"/>
          <w:numId w:val="3"/>
        </w:numPr>
        <w:spacing w:after="200" w:line="276" w:lineRule="auto"/>
        <w:contextualSpacing/>
        <w:jc w:val="both"/>
        <w:rPr>
          <w:rFonts w:ascii="Arial" w:eastAsia="Calibri" w:hAnsi="Arial" w:cs="Arial"/>
          <w:b/>
          <w:lang w:val="en-US" w:eastAsia="en-US"/>
        </w:rPr>
      </w:pPr>
      <w:r w:rsidRPr="00667D09">
        <w:rPr>
          <w:rFonts w:ascii="Arial" w:eastAsia="Calibri" w:hAnsi="Arial" w:cs="Arial"/>
          <w:b/>
          <w:lang w:val="en-US" w:eastAsia="en-US"/>
        </w:rPr>
        <w:t xml:space="preserve">Do you think that the ability of the parole board to consider rehabilitation measures as well as conditions that should be attached to the parole order provides appropriately for considerations of the completion, or non-completion, of domestic violence offenders by prisoners? </w:t>
      </w:r>
    </w:p>
    <w:p w:rsidR="00D20CDC" w:rsidRPr="00667D09" w:rsidRDefault="00D20CDC" w:rsidP="00D20CDC">
      <w:pPr>
        <w:spacing w:after="200" w:line="276" w:lineRule="auto"/>
        <w:ind w:left="720"/>
        <w:contextualSpacing/>
        <w:jc w:val="both"/>
        <w:rPr>
          <w:rFonts w:ascii="Arial" w:eastAsia="Calibri" w:hAnsi="Arial" w:cs="Arial"/>
          <w:b/>
          <w:lang w:val="en-US" w:eastAsia="en-US"/>
        </w:rPr>
      </w:pPr>
    </w:p>
    <w:p w:rsidR="00D20CDC" w:rsidRPr="00667D09" w:rsidRDefault="00B574A2" w:rsidP="00D20CDC">
      <w:pPr>
        <w:spacing w:after="200" w:line="276" w:lineRule="auto"/>
        <w:contextualSpacing/>
        <w:jc w:val="both"/>
        <w:rPr>
          <w:rFonts w:ascii="Arial" w:eastAsia="Calibri" w:hAnsi="Arial" w:cs="Arial"/>
          <w:lang w:val="en-US" w:eastAsia="en-US"/>
        </w:rPr>
      </w:pPr>
      <w:r>
        <w:rPr>
          <w:rFonts w:ascii="Arial" w:eastAsia="Calibri" w:hAnsi="Arial" w:cs="Arial"/>
          <w:lang w:val="en-US" w:eastAsia="en-US"/>
        </w:rPr>
        <w:t xml:space="preserve">The Parole Board </w:t>
      </w:r>
      <w:r w:rsidR="00D20CDC">
        <w:rPr>
          <w:rFonts w:ascii="Arial" w:eastAsia="Calibri" w:hAnsi="Arial" w:cs="Arial"/>
          <w:lang w:val="en-US" w:eastAsia="en-US"/>
        </w:rPr>
        <w:t>already gen</w:t>
      </w:r>
      <w:r>
        <w:rPr>
          <w:rFonts w:ascii="Arial" w:eastAsia="Calibri" w:hAnsi="Arial" w:cs="Arial"/>
          <w:lang w:val="en-US" w:eastAsia="en-US"/>
        </w:rPr>
        <w:t xml:space="preserve">erally has regard to </w:t>
      </w:r>
      <w:r w:rsidR="00D20CDC">
        <w:rPr>
          <w:rFonts w:ascii="Arial" w:eastAsia="Calibri" w:hAnsi="Arial" w:cs="Arial"/>
          <w:lang w:val="en-US" w:eastAsia="en-US"/>
        </w:rPr>
        <w:t>offender</w:t>
      </w:r>
      <w:r>
        <w:rPr>
          <w:rFonts w:ascii="Arial" w:eastAsia="Calibri" w:hAnsi="Arial" w:cs="Arial"/>
          <w:lang w:val="en-US" w:eastAsia="en-US"/>
        </w:rPr>
        <w:t xml:space="preserve">s’ participation in </w:t>
      </w:r>
      <w:r w:rsidR="00D20CDC" w:rsidRPr="00667D09">
        <w:rPr>
          <w:rFonts w:ascii="Arial" w:eastAsia="Calibri" w:hAnsi="Arial" w:cs="Arial"/>
          <w:lang w:val="en-US" w:eastAsia="en-US"/>
        </w:rPr>
        <w:t>r</w:t>
      </w:r>
      <w:r w:rsidR="00D20CDC">
        <w:rPr>
          <w:rFonts w:ascii="Arial" w:eastAsia="Calibri" w:hAnsi="Arial" w:cs="Arial"/>
          <w:lang w:val="en-US" w:eastAsia="en-US"/>
        </w:rPr>
        <w:t>ehabilitation programs.</w:t>
      </w:r>
      <w:r>
        <w:rPr>
          <w:rFonts w:ascii="Arial" w:eastAsia="Calibri" w:hAnsi="Arial" w:cs="Arial"/>
          <w:lang w:val="en-US" w:eastAsia="en-US"/>
        </w:rPr>
        <w:t xml:space="preserve">  The</w:t>
      </w:r>
      <w:r w:rsidR="00D20CDC">
        <w:rPr>
          <w:rFonts w:ascii="Arial" w:eastAsia="Calibri" w:hAnsi="Arial" w:cs="Arial"/>
          <w:lang w:val="en-US" w:eastAsia="en-US"/>
        </w:rPr>
        <w:t xml:space="preserve"> </w:t>
      </w:r>
      <w:r>
        <w:rPr>
          <w:rFonts w:ascii="Arial" w:eastAsia="Calibri" w:hAnsi="Arial" w:cs="Arial"/>
          <w:lang w:val="en-US" w:eastAsia="en-US"/>
        </w:rPr>
        <w:t>introduction of a statutory requirement that such matters be considered</w:t>
      </w:r>
      <w:r w:rsidR="00D20CDC">
        <w:rPr>
          <w:rFonts w:ascii="Arial" w:eastAsia="Calibri" w:hAnsi="Arial" w:cs="Arial"/>
          <w:lang w:val="en-US" w:eastAsia="en-US"/>
        </w:rPr>
        <w:t xml:space="preserve"> </w:t>
      </w:r>
      <w:r>
        <w:rPr>
          <w:rFonts w:ascii="Arial" w:eastAsia="Calibri" w:hAnsi="Arial" w:cs="Arial"/>
          <w:lang w:val="en-US" w:eastAsia="en-US"/>
        </w:rPr>
        <w:t>would unduly</w:t>
      </w:r>
      <w:r w:rsidR="00D20CDC">
        <w:rPr>
          <w:rFonts w:ascii="Arial" w:eastAsia="Calibri" w:hAnsi="Arial" w:cs="Arial"/>
          <w:lang w:val="en-US" w:eastAsia="en-US"/>
        </w:rPr>
        <w:t xml:space="preserve"> fetter the discretion of the</w:t>
      </w:r>
      <w:r>
        <w:rPr>
          <w:rFonts w:ascii="Arial" w:eastAsia="Calibri" w:hAnsi="Arial" w:cs="Arial"/>
          <w:lang w:val="en-US" w:eastAsia="en-US"/>
        </w:rPr>
        <w:t xml:space="preserve"> Parole Board</w:t>
      </w:r>
      <w:r w:rsidR="00D20CDC">
        <w:rPr>
          <w:rFonts w:ascii="Arial" w:eastAsia="Calibri" w:hAnsi="Arial" w:cs="Arial"/>
          <w:lang w:val="en-US" w:eastAsia="en-US"/>
        </w:rPr>
        <w:t>.</w:t>
      </w:r>
    </w:p>
    <w:p w:rsidR="00D20CDC" w:rsidRPr="00667D09" w:rsidRDefault="00D20CDC" w:rsidP="00D20CDC">
      <w:pPr>
        <w:spacing w:after="200" w:line="276" w:lineRule="auto"/>
        <w:ind w:left="1080"/>
        <w:contextualSpacing/>
        <w:jc w:val="both"/>
        <w:rPr>
          <w:rFonts w:ascii="Arial" w:eastAsia="Calibri" w:hAnsi="Arial" w:cs="Arial"/>
          <w:lang w:val="en-US" w:eastAsia="en-US"/>
        </w:rPr>
      </w:pPr>
    </w:p>
    <w:p w:rsidR="00D20CDC" w:rsidRPr="00667D09" w:rsidRDefault="00B574A2" w:rsidP="00D20CDC">
      <w:pPr>
        <w:spacing w:after="200" w:line="276" w:lineRule="auto"/>
        <w:jc w:val="both"/>
        <w:rPr>
          <w:rFonts w:ascii="Arial" w:eastAsia="Calibri" w:hAnsi="Arial" w:cs="Arial"/>
          <w:lang w:eastAsia="en-US"/>
        </w:rPr>
      </w:pPr>
      <w:r>
        <w:rPr>
          <w:rFonts w:ascii="Arial" w:eastAsia="Calibri" w:hAnsi="Arial" w:cs="Arial"/>
          <w:lang w:eastAsia="en-US"/>
        </w:rPr>
        <w:t>T</w:t>
      </w:r>
      <w:r w:rsidR="00D20CDC" w:rsidRPr="00667D09">
        <w:rPr>
          <w:rFonts w:ascii="Arial" w:eastAsia="Calibri" w:hAnsi="Arial" w:cs="Arial"/>
          <w:lang w:eastAsia="en-US"/>
        </w:rPr>
        <w:t xml:space="preserve">he </w:t>
      </w:r>
      <w:r>
        <w:rPr>
          <w:rFonts w:ascii="Arial" w:eastAsia="Calibri" w:hAnsi="Arial" w:cs="Arial"/>
          <w:lang w:eastAsia="en-US"/>
        </w:rPr>
        <w:t xml:space="preserve">Parole </w:t>
      </w:r>
      <w:r w:rsidR="00D20CDC" w:rsidRPr="00667D09">
        <w:rPr>
          <w:rFonts w:ascii="Arial" w:eastAsia="Calibri" w:hAnsi="Arial" w:cs="Arial"/>
          <w:lang w:eastAsia="en-US"/>
        </w:rPr>
        <w:t xml:space="preserve">Board should be able to take into account </w:t>
      </w:r>
      <w:r w:rsidR="00D20CDC">
        <w:rPr>
          <w:rFonts w:ascii="Arial" w:eastAsia="Calibri" w:hAnsi="Arial" w:cs="Arial"/>
          <w:lang w:eastAsia="en-US"/>
        </w:rPr>
        <w:t xml:space="preserve">that </w:t>
      </w:r>
      <w:r w:rsidR="00D20CDC" w:rsidRPr="00667D09">
        <w:rPr>
          <w:rFonts w:ascii="Arial" w:eastAsia="Calibri" w:hAnsi="Arial" w:cs="Arial"/>
          <w:lang w:eastAsia="en-US"/>
        </w:rPr>
        <w:t xml:space="preserve">the failure of a person to undertake a </w:t>
      </w:r>
      <w:r>
        <w:rPr>
          <w:rFonts w:ascii="Arial" w:eastAsia="Calibri" w:hAnsi="Arial" w:cs="Arial"/>
          <w:lang w:eastAsia="en-US"/>
        </w:rPr>
        <w:t xml:space="preserve">rehabilitation </w:t>
      </w:r>
      <w:r w:rsidR="00D20CDC" w:rsidRPr="00667D09">
        <w:rPr>
          <w:rFonts w:ascii="Arial" w:eastAsia="Calibri" w:hAnsi="Arial" w:cs="Arial"/>
          <w:lang w:eastAsia="en-US"/>
        </w:rPr>
        <w:t xml:space="preserve">course </w:t>
      </w:r>
      <w:r w:rsidR="00D20CDC">
        <w:rPr>
          <w:rFonts w:ascii="Arial" w:eastAsia="Calibri" w:hAnsi="Arial" w:cs="Arial"/>
          <w:lang w:eastAsia="en-US"/>
        </w:rPr>
        <w:t xml:space="preserve">may have been solely because it was </w:t>
      </w:r>
      <w:r w:rsidR="00D20CDC" w:rsidRPr="00667D09">
        <w:rPr>
          <w:rFonts w:ascii="Arial" w:eastAsia="Calibri" w:hAnsi="Arial" w:cs="Arial"/>
          <w:lang w:eastAsia="en-US"/>
        </w:rPr>
        <w:t xml:space="preserve"> not available</w:t>
      </w:r>
      <w:r w:rsidR="00D20CDC">
        <w:rPr>
          <w:rFonts w:ascii="Arial" w:eastAsia="Calibri" w:hAnsi="Arial" w:cs="Arial"/>
          <w:lang w:eastAsia="en-US"/>
        </w:rPr>
        <w:t xml:space="preserve"> to him or her</w:t>
      </w:r>
      <w:r>
        <w:rPr>
          <w:rFonts w:ascii="Arial" w:eastAsia="Calibri" w:hAnsi="Arial" w:cs="Arial"/>
          <w:lang w:eastAsia="en-US"/>
        </w:rPr>
        <w:t>, as indeed is often the case</w:t>
      </w:r>
      <w:r w:rsidR="00D20CDC" w:rsidRPr="00667D09">
        <w:rPr>
          <w:rFonts w:ascii="Arial" w:eastAsia="Calibri" w:hAnsi="Arial" w:cs="Arial"/>
          <w:lang w:eastAsia="en-US"/>
        </w:rPr>
        <w:t>.</w:t>
      </w:r>
      <w:r w:rsidR="00D20CDC">
        <w:rPr>
          <w:rFonts w:ascii="Arial" w:eastAsia="Calibri" w:hAnsi="Arial" w:cs="Arial"/>
          <w:lang w:eastAsia="en-US"/>
        </w:rPr>
        <w:t xml:space="preserve">  For example, the Violent Offenders Program </w:t>
      </w:r>
      <w:r>
        <w:rPr>
          <w:rFonts w:ascii="Arial" w:eastAsia="Calibri" w:hAnsi="Arial" w:cs="Arial"/>
          <w:lang w:eastAsia="en-US"/>
        </w:rPr>
        <w:t>and Sex Offenders Program have both been discontinued at</w:t>
      </w:r>
      <w:r w:rsidR="00D20CDC">
        <w:rPr>
          <w:rFonts w:ascii="Arial" w:eastAsia="Calibri" w:hAnsi="Arial" w:cs="Arial"/>
          <w:lang w:eastAsia="en-US"/>
        </w:rPr>
        <w:t xml:space="preserve"> the Alice Spr</w:t>
      </w:r>
      <w:r>
        <w:rPr>
          <w:rFonts w:ascii="Arial" w:eastAsia="Calibri" w:hAnsi="Arial" w:cs="Arial"/>
          <w:lang w:eastAsia="en-US"/>
        </w:rPr>
        <w:t>ings Correctional Centre, and are</w:t>
      </w:r>
      <w:r w:rsidR="00D20CDC">
        <w:rPr>
          <w:rFonts w:ascii="Arial" w:eastAsia="Calibri" w:hAnsi="Arial" w:cs="Arial"/>
          <w:lang w:eastAsia="en-US"/>
        </w:rPr>
        <w:t xml:space="preserve"> currently only available to prisoners in the Darwin Correctional Centre.  </w:t>
      </w:r>
    </w:p>
    <w:p w:rsidR="00D20CDC" w:rsidRPr="00667D09" w:rsidRDefault="00D20CDC" w:rsidP="00D20CDC">
      <w:pPr>
        <w:spacing w:after="200" w:line="276" w:lineRule="auto"/>
        <w:ind w:left="1080"/>
        <w:contextualSpacing/>
        <w:jc w:val="both"/>
        <w:rPr>
          <w:rFonts w:ascii="Arial" w:eastAsia="Calibri" w:hAnsi="Arial" w:cs="Arial"/>
          <w:lang w:val="en-US" w:eastAsia="en-US"/>
        </w:rPr>
      </w:pPr>
    </w:p>
    <w:p w:rsidR="00D20CDC" w:rsidRPr="00667D09" w:rsidRDefault="00D20CDC" w:rsidP="00D20CDC">
      <w:pPr>
        <w:numPr>
          <w:ilvl w:val="0"/>
          <w:numId w:val="3"/>
        </w:numPr>
        <w:spacing w:after="200" w:line="276" w:lineRule="auto"/>
        <w:contextualSpacing/>
        <w:jc w:val="both"/>
        <w:rPr>
          <w:rFonts w:ascii="Arial" w:eastAsia="Calibri" w:hAnsi="Arial" w:cs="Arial"/>
          <w:b/>
          <w:lang w:val="en-US" w:eastAsia="en-US"/>
        </w:rPr>
      </w:pPr>
      <w:r w:rsidRPr="00667D09">
        <w:rPr>
          <w:rFonts w:ascii="Arial" w:eastAsia="Calibri" w:hAnsi="Arial" w:cs="Arial"/>
          <w:b/>
          <w:lang w:val="en-US" w:eastAsia="en-US"/>
        </w:rPr>
        <w:t>If you think a more direct link should be made between the completion of domestic violence programs and parole, what methods would best achieve this?</w:t>
      </w:r>
    </w:p>
    <w:p w:rsidR="00D20CDC" w:rsidRPr="00667D09" w:rsidRDefault="00D20CDC" w:rsidP="00D20CDC">
      <w:pPr>
        <w:spacing w:after="200" w:line="276" w:lineRule="auto"/>
        <w:contextualSpacing/>
        <w:jc w:val="both"/>
        <w:rPr>
          <w:rFonts w:ascii="Arial" w:eastAsia="Calibri" w:hAnsi="Arial" w:cs="Arial"/>
          <w:b/>
          <w:lang w:val="en-US" w:eastAsia="en-US"/>
        </w:rPr>
      </w:pPr>
    </w:p>
    <w:p w:rsidR="00D20CDC" w:rsidRDefault="00D20CDC" w:rsidP="00D20CDC">
      <w:pPr>
        <w:spacing w:after="200" w:line="276" w:lineRule="auto"/>
        <w:contextualSpacing/>
        <w:jc w:val="both"/>
        <w:rPr>
          <w:rFonts w:ascii="Arial" w:eastAsia="Calibri" w:hAnsi="Arial" w:cs="Arial"/>
          <w:lang w:val="en-US" w:eastAsia="en-US"/>
        </w:rPr>
      </w:pPr>
      <w:r>
        <w:rPr>
          <w:rFonts w:ascii="Arial" w:eastAsia="Calibri" w:hAnsi="Arial" w:cs="Arial"/>
          <w:lang w:val="en-US" w:eastAsia="en-US"/>
        </w:rPr>
        <w:t xml:space="preserve">As a matter of urgency, a best practice DV perpetrators program (such as the Men’s Behaviour Change program currently run by </w:t>
      </w:r>
      <w:proofErr w:type="spellStart"/>
      <w:r>
        <w:rPr>
          <w:rFonts w:ascii="Arial" w:eastAsia="Calibri" w:hAnsi="Arial" w:cs="Arial"/>
          <w:lang w:val="en-US" w:eastAsia="en-US"/>
        </w:rPr>
        <w:t>Tangentyere</w:t>
      </w:r>
      <w:proofErr w:type="spellEnd"/>
      <w:r>
        <w:rPr>
          <w:rFonts w:ascii="Arial" w:eastAsia="Calibri" w:hAnsi="Arial" w:cs="Arial"/>
          <w:lang w:val="en-US" w:eastAsia="en-US"/>
        </w:rPr>
        <w:t xml:space="preserve"> Council) should be re-introduced into the Alice Springs Correctional Centre.</w:t>
      </w:r>
    </w:p>
    <w:p w:rsidR="00D20CDC" w:rsidRPr="00667D09" w:rsidRDefault="00D20CDC" w:rsidP="00D20CDC">
      <w:pPr>
        <w:spacing w:after="200" w:line="276" w:lineRule="auto"/>
        <w:ind w:left="720"/>
        <w:contextualSpacing/>
        <w:jc w:val="both"/>
        <w:rPr>
          <w:rFonts w:ascii="Arial" w:eastAsia="Calibri" w:hAnsi="Arial" w:cs="Arial"/>
          <w:lang w:val="en-US" w:eastAsia="en-US"/>
        </w:rPr>
      </w:pPr>
    </w:p>
    <w:p w:rsidR="00D20CDC" w:rsidRPr="00667D09" w:rsidRDefault="00D20CDC" w:rsidP="00D20CDC">
      <w:pPr>
        <w:numPr>
          <w:ilvl w:val="0"/>
          <w:numId w:val="3"/>
        </w:numPr>
        <w:spacing w:after="200" w:line="276" w:lineRule="auto"/>
        <w:contextualSpacing/>
        <w:jc w:val="both"/>
        <w:rPr>
          <w:rFonts w:ascii="Arial" w:eastAsia="Calibri" w:hAnsi="Arial" w:cs="Arial"/>
          <w:b/>
          <w:lang w:val="en-US" w:eastAsia="en-US"/>
        </w:rPr>
      </w:pPr>
      <w:r w:rsidRPr="00667D09">
        <w:rPr>
          <w:rFonts w:ascii="Arial" w:eastAsia="Calibri" w:hAnsi="Arial" w:cs="Arial"/>
          <w:b/>
          <w:lang w:val="en-US" w:eastAsia="en-US"/>
        </w:rPr>
        <w:t xml:space="preserve">Do you think that the </w:t>
      </w:r>
      <w:r w:rsidRPr="00667D09">
        <w:rPr>
          <w:rFonts w:ascii="Arial" w:eastAsia="Calibri" w:hAnsi="Arial" w:cs="Arial"/>
          <w:b/>
          <w:i/>
          <w:lang w:val="en-US" w:eastAsia="en-US"/>
        </w:rPr>
        <w:t>Sentencing Act</w:t>
      </w:r>
      <w:r w:rsidRPr="00667D09">
        <w:rPr>
          <w:rFonts w:ascii="Arial" w:eastAsia="Calibri" w:hAnsi="Arial" w:cs="Arial"/>
          <w:b/>
          <w:lang w:val="en-US" w:eastAsia="en-US"/>
        </w:rPr>
        <w:t xml:space="preserve"> provides adequately for the continuing detention of serious violent offenders by providing the Supreme Court with the ability to sentence an offender convicted of a violent offence to an indefinite term of imprisonment? </w:t>
      </w:r>
    </w:p>
    <w:p w:rsidR="00D20CDC" w:rsidRPr="00667D09" w:rsidRDefault="00D20CDC" w:rsidP="00D20CDC">
      <w:pPr>
        <w:spacing w:after="200" w:line="276" w:lineRule="auto"/>
        <w:contextualSpacing/>
        <w:jc w:val="both"/>
        <w:rPr>
          <w:rFonts w:ascii="Arial" w:eastAsia="Calibri" w:hAnsi="Arial" w:cs="Arial"/>
          <w:b/>
          <w:lang w:val="en-US" w:eastAsia="en-US"/>
        </w:rPr>
      </w:pPr>
    </w:p>
    <w:p w:rsidR="00676359" w:rsidRDefault="00676359" w:rsidP="00D20CDC">
      <w:pPr>
        <w:spacing w:after="200" w:line="276" w:lineRule="auto"/>
        <w:contextualSpacing/>
        <w:jc w:val="both"/>
        <w:rPr>
          <w:rFonts w:ascii="Arial" w:eastAsia="Calibri" w:hAnsi="Arial" w:cs="Arial"/>
          <w:lang w:val="en-US" w:eastAsia="en-US"/>
        </w:rPr>
      </w:pPr>
      <w:r>
        <w:rPr>
          <w:rFonts w:ascii="Arial" w:eastAsia="Calibri" w:hAnsi="Arial" w:cs="Arial"/>
          <w:lang w:val="en-US" w:eastAsia="en-US"/>
        </w:rPr>
        <w:t xml:space="preserve">CLANT has reservations regarding the justice </w:t>
      </w:r>
      <w:r w:rsidR="00ED2AFD">
        <w:rPr>
          <w:rFonts w:ascii="Arial" w:eastAsia="Calibri" w:hAnsi="Arial" w:cs="Arial"/>
          <w:lang w:val="en-US" w:eastAsia="en-US"/>
        </w:rPr>
        <w:t xml:space="preserve">and wisdom </w:t>
      </w:r>
      <w:r>
        <w:rPr>
          <w:rFonts w:ascii="Arial" w:eastAsia="Calibri" w:hAnsi="Arial" w:cs="Arial"/>
          <w:lang w:val="en-US" w:eastAsia="en-US"/>
        </w:rPr>
        <w:t xml:space="preserve">of </w:t>
      </w:r>
      <w:r w:rsidR="00ED2AFD">
        <w:rPr>
          <w:rFonts w:ascii="Arial" w:eastAsia="Calibri" w:hAnsi="Arial" w:cs="Arial"/>
          <w:lang w:val="en-US" w:eastAsia="en-US"/>
        </w:rPr>
        <w:t xml:space="preserve">the existing </w:t>
      </w:r>
      <w:r>
        <w:rPr>
          <w:rFonts w:ascii="Arial" w:eastAsia="Calibri" w:hAnsi="Arial" w:cs="Arial"/>
          <w:lang w:val="en-US" w:eastAsia="en-US"/>
        </w:rPr>
        <w:t>indefinite sentencing provisions:  preventative detention is a principle not known to the common law, and similar statutory schemes in other parts of the world</w:t>
      </w:r>
      <w:r w:rsidR="00ED2AFD">
        <w:rPr>
          <w:rFonts w:ascii="Arial" w:eastAsia="Calibri" w:hAnsi="Arial" w:cs="Arial"/>
          <w:lang w:val="en-US" w:eastAsia="en-US"/>
        </w:rPr>
        <w:t xml:space="preserve">, including England, </w:t>
      </w:r>
      <w:r>
        <w:rPr>
          <w:rFonts w:ascii="Arial" w:eastAsia="Calibri" w:hAnsi="Arial" w:cs="Arial"/>
          <w:lang w:val="en-US" w:eastAsia="en-US"/>
        </w:rPr>
        <w:t xml:space="preserve">have been found to infringe offenders’ human rights.  </w:t>
      </w:r>
    </w:p>
    <w:p w:rsidR="00676359" w:rsidRDefault="00676359" w:rsidP="00D20CDC">
      <w:pPr>
        <w:spacing w:after="200" w:line="276" w:lineRule="auto"/>
        <w:contextualSpacing/>
        <w:jc w:val="both"/>
        <w:rPr>
          <w:rFonts w:ascii="Arial" w:eastAsia="Calibri" w:hAnsi="Arial" w:cs="Arial"/>
          <w:lang w:val="en-US" w:eastAsia="en-US"/>
        </w:rPr>
      </w:pPr>
    </w:p>
    <w:p w:rsidR="00D20CDC" w:rsidRDefault="00676359" w:rsidP="00D20CDC">
      <w:pPr>
        <w:spacing w:after="200" w:line="276" w:lineRule="auto"/>
        <w:contextualSpacing/>
        <w:jc w:val="both"/>
        <w:rPr>
          <w:rFonts w:ascii="Arial" w:eastAsia="Calibri" w:hAnsi="Arial" w:cs="Arial"/>
          <w:lang w:val="en-US" w:eastAsia="en-US"/>
        </w:rPr>
      </w:pPr>
      <w:r>
        <w:rPr>
          <w:rFonts w:ascii="Arial" w:eastAsia="Calibri" w:hAnsi="Arial" w:cs="Arial"/>
          <w:lang w:val="en-US" w:eastAsia="en-US"/>
        </w:rPr>
        <w:t xml:space="preserve">Nevertheless, the current scheme is well established, and the </w:t>
      </w:r>
      <w:r w:rsidR="00B574A2">
        <w:rPr>
          <w:rFonts w:ascii="Arial" w:eastAsia="Calibri" w:hAnsi="Arial" w:cs="Arial"/>
          <w:lang w:val="en-US" w:eastAsia="en-US"/>
        </w:rPr>
        <w:t>Court of Criminal Appeal</w:t>
      </w:r>
      <w:r w:rsidR="00B574A2" w:rsidRPr="00B574A2">
        <w:rPr>
          <w:rFonts w:ascii="Arial" w:eastAsia="Calibri" w:hAnsi="Arial" w:cs="Arial"/>
          <w:i/>
          <w:lang w:val="en-US" w:eastAsia="en-US"/>
        </w:rPr>
        <w:t xml:space="preserve"> </w:t>
      </w:r>
      <w:r>
        <w:rPr>
          <w:rFonts w:ascii="Arial" w:eastAsia="Calibri" w:hAnsi="Arial" w:cs="Arial"/>
          <w:lang w:val="en-US" w:eastAsia="en-US"/>
        </w:rPr>
        <w:t xml:space="preserve">has </w:t>
      </w:r>
      <w:r w:rsidR="00B574A2">
        <w:rPr>
          <w:rFonts w:ascii="Arial" w:eastAsia="Calibri" w:hAnsi="Arial" w:cs="Arial"/>
          <w:lang w:val="en-US" w:eastAsia="en-US"/>
        </w:rPr>
        <w:t xml:space="preserve">carefully considered and applied </w:t>
      </w:r>
      <w:r>
        <w:rPr>
          <w:rFonts w:ascii="Arial" w:eastAsia="Calibri" w:hAnsi="Arial" w:cs="Arial"/>
          <w:lang w:val="en-US" w:eastAsia="en-US"/>
        </w:rPr>
        <w:t xml:space="preserve">Division 5 Subdivision 4 of the </w:t>
      </w:r>
      <w:r>
        <w:rPr>
          <w:rFonts w:ascii="Arial" w:eastAsia="Calibri" w:hAnsi="Arial" w:cs="Arial"/>
          <w:i/>
          <w:lang w:val="en-US" w:eastAsia="en-US"/>
        </w:rPr>
        <w:t>Sentencing Act</w:t>
      </w:r>
      <w:r>
        <w:rPr>
          <w:rFonts w:ascii="Arial" w:eastAsia="Calibri" w:hAnsi="Arial" w:cs="Arial"/>
          <w:lang w:val="en-US" w:eastAsia="en-US"/>
        </w:rPr>
        <w:t xml:space="preserve"> </w:t>
      </w:r>
      <w:r w:rsidR="00B574A2">
        <w:rPr>
          <w:rFonts w:ascii="Arial" w:eastAsia="Calibri" w:hAnsi="Arial" w:cs="Arial"/>
          <w:lang w:val="en-US" w:eastAsia="en-US"/>
        </w:rPr>
        <w:t xml:space="preserve">in </w:t>
      </w:r>
      <w:r w:rsidR="00ED2AFD">
        <w:rPr>
          <w:rFonts w:ascii="Arial" w:eastAsia="Calibri" w:hAnsi="Arial" w:cs="Arial"/>
          <w:lang w:val="en-US" w:eastAsia="en-US"/>
        </w:rPr>
        <w:t xml:space="preserve">cases such as </w:t>
      </w:r>
      <w:hyperlink r:id="rId14" w:history="1">
        <w:r w:rsidR="00B574A2" w:rsidRPr="00613BB5">
          <w:rPr>
            <w:rStyle w:val="Hyperlink"/>
            <w:rFonts w:ascii="Arial" w:eastAsia="Calibri" w:hAnsi="Arial" w:cs="Arial"/>
            <w:i/>
            <w:lang w:val="en-US" w:eastAsia="en-US"/>
          </w:rPr>
          <w:t>Murray v R</w:t>
        </w:r>
        <w:r w:rsidR="00B574A2" w:rsidRPr="00613BB5">
          <w:rPr>
            <w:rStyle w:val="Hyperlink"/>
            <w:rFonts w:ascii="Arial" w:eastAsia="Calibri" w:hAnsi="Arial" w:cs="Arial"/>
            <w:lang w:val="en-US" w:eastAsia="en-US"/>
          </w:rPr>
          <w:t xml:space="preserve"> [2006] NTCCA 9</w:t>
        </w:r>
      </w:hyperlink>
      <w:r w:rsidR="00B574A2">
        <w:t xml:space="preserve">, </w:t>
      </w:r>
      <w:r>
        <w:rPr>
          <w:rFonts w:ascii="Arial" w:eastAsia="Calibri" w:hAnsi="Arial" w:cs="Arial"/>
          <w:lang w:val="en-US" w:eastAsia="en-US"/>
        </w:rPr>
        <w:t xml:space="preserve">without </w:t>
      </w:r>
      <w:r w:rsidR="00B574A2">
        <w:rPr>
          <w:rFonts w:ascii="Arial" w:eastAsia="Calibri" w:hAnsi="Arial" w:cs="Arial"/>
          <w:lang w:val="en-US" w:eastAsia="en-US"/>
        </w:rPr>
        <w:t>suggest</w:t>
      </w:r>
      <w:r>
        <w:rPr>
          <w:rFonts w:ascii="Arial" w:eastAsia="Calibri" w:hAnsi="Arial" w:cs="Arial"/>
          <w:lang w:val="en-US" w:eastAsia="en-US"/>
        </w:rPr>
        <w:t>ing that these provisions</w:t>
      </w:r>
      <w:r w:rsidR="00D20CDC">
        <w:rPr>
          <w:rFonts w:ascii="Arial" w:eastAsia="Calibri" w:hAnsi="Arial" w:cs="Arial"/>
          <w:lang w:val="en-US" w:eastAsia="en-US"/>
        </w:rPr>
        <w:t xml:space="preserve"> are in need of reform.</w:t>
      </w:r>
    </w:p>
    <w:p w:rsidR="00676359" w:rsidRDefault="00676359" w:rsidP="00D20CDC">
      <w:pPr>
        <w:spacing w:after="200" w:line="276" w:lineRule="auto"/>
        <w:contextualSpacing/>
        <w:jc w:val="both"/>
        <w:rPr>
          <w:rFonts w:ascii="Arial" w:eastAsia="Calibri" w:hAnsi="Arial" w:cs="Arial"/>
          <w:lang w:val="en-US" w:eastAsia="en-US"/>
        </w:rPr>
      </w:pPr>
    </w:p>
    <w:p w:rsidR="00676359" w:rsidRDefault="00ED2AFD" w:rsidP="00D20CDC">
      <w:pPr>
        <w:spacing w:after="200" w:line="276" w:lineRule="auto"/>
        <w:contextualSpacing/>
        <w:jc w:val="both"/>
        <w:rPr>
          <w:rFonts w:ascii="Arial" w:eastAsia="Calibri" w:hAnsi="Arial" w:cs="Arial"/>
          <w:lang w:val="en-US" w:eastAsia="en-US"/>
        </w:rPr>
      </w:pPr>
      <w:r>
        <w:rPr>
          <w:rFonts w:ascii="Arial" w:eastAsia="Calibri" w:hAnsi="Arial" w:cs="Arial"/>
          <w:lang w:val="en-US" w:eastAsia="en-US"/>
        </w:rPr>
        <w:t>CLANT submits that t</w:t>
      </w:r>
      <w:r w:rsidR="00676359">
        <w:rPr>
          <w:rFonts w:ascii="Arial" w:eastAsia="Calibri" w:hAnsi="Arial" w:cs="Arial"/>
          <w:lang w:val="en-US" w:eastAsia="en-US"/>
        </w:rPr>
        <w:t>he current scheme of indefinite imprisonment should not be extended.</w:t>
      </w:r>
    </w:p>
    <w:p w:rsidR="00D20CDC" w:rsidRPr="00667D09" w:rsidRDefault="00D20CDC" w:rsidP="00D20CDC">
      <w:pPr>
        <w:spacing w:after="200" w:line="276" w:lineRule="auto"/>
        <w:ind w:left="1080"/>
        <w:contextualSpacing/>
        <w:jc w:val="both"/>
        <w:rPr>
          <w:rFonts w:ascii="Arial" w:eastAsia="Calibri" w:hAnsi="Arial" w:cs="Arial"/>
          <w:b/>
          <w:lang w:val="en-US" w:eastAsia="en-US"/>
        </w:rPr>
      </w:pPr>
    </w:p>
    <w:p w:rsidR="00D20CDC" w:rsidRPr="00667D09" w:rsidRDefault="00D20CDC" w:rsidP="00D20CDC">
      <w:pPr>
        <w:numPr>
          <w:ilvl w:val="0"/>
          <w:numId w:val="3"/>
        </w:numPr>
        <w:spacing w:after="200" w:line="276" w:lineRule="auto"/>
        <w:contextualSpacing/>
        <w:jc w:val="both"/>
        <w:rPr>
          <w:rFonts w:ascii="Arial" w:eastAsia="Calibri" w:hAnsi="Arial" w:cs="Arial"/>
          <w:b/>
          <w:lang w:val="en-US" w:eastAsia="en-US"/>
        </w:rPr>
      </w:pPr>
      <w:r w:rsidRPr="00667D09">
        <w:rPr>
          <w:rFonts w:ascii="Arial" w:eastAsia="Calibri" w:hAnsi="Arial" w:cs="Arial"/>
          <w:b/>
          <w:lang w:val="en-US" w:eastAsia="en-US"/>
        </w:rPr>
        <w:t>Do you think a similar scheme to the serious sex offenders scheme providing for continued detention or supervision of violent offenders should be implemented in the NT? Why/why not?</w:t>
      </w:r>
    </w:p>
    <w:p w:rsidR="00D20CDC" w:rsidRPr="00667D09" w:rsidRDefault="00D20CDC" w:rsidP="00D20CDC">
      <w:pPr>
        <w:spacing w:after="200" w:line="276" w:lineRule="auto"/>
        <w:ind w:left="720"/>
        <w:contextualSpacing/>
        <w:jc w:val="both"/>
        <w:rPr>
          <w:rFonts w:ascii="Arial" w:eastAsia="Calibri" w:hAnsi="Arial" w:cs="Arial"/>
          <w:b/>
          <w:lang w:val="en-US" w:eastAsia="en-US"/>
        </w:rPr>
      </w:pPr>
    </w:p>
    <w:p w:rsidR="00D20CDC" w:rsidRPr="00676359" w:rsidRDefault="00D20CDC" w:rsidP="00D20CDC">
      <w:pPr>
        <w:spacing w:after="200" w:line="276" w:lineRule="auto"/>
        <w:contextualSpacing/>
        <w:jc w:val="both"/>
        <w:rPr>
          <w:rFonts w:ascii="Arial" w:eastAsia="Calibri" w:hAnsi="Arial" w:cs="Arial"/>
          <w:b/>
          <w:lang w:val="en-US" w:eastAsia="en-US"/>
        </w:rPr>
      </w:pPr>
      <w:r w:rsidRPr="00667D09">
        <w:rPr>
          <w:rFonts w:ascii="Arial" w:eastAsia="Calibri" w:hAnsi="Arial" w:cs="Arial"/>
          <w:lang w:val="en-US" w:eastAsia="en-US"/>
        </w:rPr>
        <w:t>No</w:t>
      </w:r>
      <w:r>
        <w:rPr>
          <w:rFonts w:ascii="Arial" w:eastAsia="Calibri" w:hAnsi="Arial" w:cs="Arial"/>
          <w:lang w:val="en-US" w:eastAsia="en-US"/>
        </w:rPr>
        <w:t>. T</w:t>
      </w:r>
      <w:r w:rsidRPr="00667D09">
        <w:rPr>
          <w:rFonts w:ascii="Arial" w:eastAsia="Calibri" w:hAnsi="Arial" w:cs="Arial"/>
          <w:lang w:val="en-US" w:eastAsia="en-US"/>
        </w:rPr>
        <w:t>he principles of the</w:t>
      </w:r>
      <w:r w:rsidRPr="00667D09">
        <w:rPr>
          <w:rFonts w:ascii="Arial" w:eastAsia="Calibri" w:hAnsi="Arial" w:cs="Arial"/>
          <w:i/>
          <w:lang w:val="en-US" w:eastAsia="en-US"/>
        </w:rPr>
        <w:t xml:space="preserve"> Sentencing Act, </w:t>
      </w:r>
      <w:r w:rsidRPr="00667D09">
        <w:rPr>
          <w:rFonts w:ascii="Arial" w:eastAsia="Calibri" w:hAnsi="Arial" w:cs="Arial"/>
          <w:lang w:val="en-US" w:eastAsia="en-US"/>
        </w:rPr>
        <w:t>coupled with judicial discretion and the role of the Parole Board</w:t>
      </w:r>
      <w:r>
        <w:rPr>
          <w:rFonts w:ascii="Arial" w:eastAsia="Calibri" w:hAnsi="Arial" w:cs="Arial"/>
          <w:lang w:val="en-US" w:eastAsia="en-US"/>
        </w:rPr>
        <w:t>,</w:t>
      </w:r>
      <w:r w:rsidRPr="00667D09">
        <w:rPr>
          <w:rFonts w:ascii="Arial" w:eastAsia="Calibri" w:hAnsi="Arial" w:cs="Arial"/>
          <w:lang w:val="en-US" w:eastAsia="en-US"/>
        </w:rPr>
        <w:t xml:space="preserve"> provide sufficient checks and balances.</w:t>
      </w:r>
      <w:r w:rsidR="00676359">
        <w:rPr>
          <w:rFonts w:ascii="Arial" w:eastAsia="Calibri" w:hAnsi="Arial" w:cs="Arial"/>
          <w:lang w:val="en-US" w:eastAsia="en-US"/>
        </w:rPr>
        <w:t xml:space="preserve">  CLANT opposes</w:t>
      </w:r>
      <w:r>
        <w:rPr>
          <w:rFonts w:ascii="Arial" w:eastAsia="Calibri" w:hAnsi="Arial" w:cs="Arial"/>
          <w:lang w:val="en-US" w:eastAsia="en-US"/>
        </w:rPr>
        <w:t xml:space="preserve"> “civil detention” imposed after the completion of a sentence of imprisonment, whether for violent offenders or sex offenders.</w:t>
      </w:r>
      <w:r w:rsidR="00676359">
        <w:rPr>
          <w:rFonts w:ascii="Arial" w:eastAsia="Calibri" w:hAnsi="Arial" w:cs="Arial"/>
          <w:lang w:val="en-US" w:eastAsia="en-US"/>
        </w:rPr>
        <w:t xml:space="preserve">  CLANT consistently and strongly opposed the enactment of the </w:t>
      </w:r>
      <w:r w:rsidR="00676359">
        <w:rPr>
          <w:rFonts w:ascii="Arial" w:eastAsia="Calibri" w:hAnsi="Arial" w:cs="Arial"/>
          <w:i/>
          <w:lang w:val="en-US" w:eastAsia="en-US"/>
        </w:rPr>
        <w:t xml:space="preserve">Serious Sex </w:t>
      </w:r>
      <w:r w:rsidR="00676359">
        <w:rPr>
          <w:rFonts w:ascii="Arial" w:eastAsia="Calibri" w:hAnsi="Arial" w:cs="Arial"/>
          <w:i/>
          <w:lang w:val="en-US" w:eastAsia="en-US"/>
        </w:rPr>
        <w:lastRenderedPageBreak/>
        <w:t>Offenders Act</w:t>
      </w:r>
      <w:r w:rsidR="00676359">
        <w:rPr>
          <w:rFonts w:ascii="Arial" w:eastAsia="Calibri" w:hAnsi="Arial" w:cs="Arial"/>
          <w:lang w:val="en-US" w:eastAsia="en-US"/>
        </w:rPr>
        <w:t>,</w:t>
      </w:r>
      <w:r w:rsidR="00676359">
        <w:rPr>
          <w:rStyle w:val="FootnoteReference"/>
          <w:rFonts w:ascii="Arial" w:eastAsia="Calibri" w:hAnsi="Arial"/>
          <w:lang w:val="en-US" w:eastAsia="en-US"/>
        </w:rPr>
        <w:footnoteReference w:id="2"/>
      </w:r>
      <w:r w:rsidR="00676359">
        <w:rPr>
          <w:rFonts w:ascii="Arial" w:eastAsia="Calibri" w:hAnsi="Arial" w:cs="Arial"/>
          <w:lang w:val="en-US" w:eastAsia="en-US"/>
        </w:rPr>
        <w:t xml:space="preserve"> and would be similarly opposed to its extension to cover non-sexual offences.</w:t>
      </w:r>
    </w:p>
    <w:p w:rsidR="00D20CDC" w:rsidRPr="00667D09" w:rsidRDefault="00D20CDC" w:rsidP="00D20CDC">
      <w:pPr>
        <w:spacing w:after="200" w:line="276" w:lineRule="auto"/>
        <w:contextualSpacing/>
        <w:jc w:val="both"/>
        <w:rPr>
          <w:rFonts w:ascii="Arial" w:eastAsia="Calibri" w:hAnsi="Arial" w:cs="Arial"/>
          <w:b/>
          <w:lang w:val="en-US" w:eastAsia="en-US"/>
        </w:rPr>
      </w:pPr>
    </w:p>
    <w:p w:rsidR="00D20CDC" w:rsidRPr="00667D09" w:rsidRDefault="00D20CDC" w:rsidP="00D20CDC">
      <w:pPr>
        <w:numPr>
          <w:ilvl w:val="0"/>
          <w:numId w:val="3"/>
        </w:numPr>
        <w:spacing w:after="200" w:line="276" w:lineRule="auto"/>
        <w:contextualSpacing/>
        <w:jc w:val="both"/>
        <w:rPr>
          <w:rFonts w:ascii="Arial" w:eastAsia="Calibri" w:hAnsi="Arial" w:cs="Arial"/>
          <w:b/>
          <w:lang w:val="en-US" w:eastAsia="en-US"/>
        </w:rPr>
      </w:pPr>
      <w:r w:rsidRPr="00667D09">
        <w:rPr>
          <w:rFonts w:ascii="Arial" w:eastAsia="Calibri" w:hAnsi="Arial" w:cs="Arial"/>
          <w:b/>
          <w:lang w:val="en-US" w:eastAsia="en-US"/>
        </w:rPr>
        <w:t xml:space="preserve">Do you think that Community Custody Orders would be more effective if there were clear and predictable sanctions for breaching them? </w:t>
      </w:r>
    </w:p>
    <w:p w:rsidR="00D20CDC" w:rsidRPr="00667D09" w:rsidRDefault="00D20CDC" w:rsidP="00D20CDC">
      <w:pPr>
        <w:spacing w:after="200" w:line="276" w:lineRule="auto"/>
        <w:contextualSpacing/>
        <w:jc w:val="both"/>
        <w:rPr>
          <w:rFonts w:ascii="Arial" w:eastAsia="Calibri" w:hAnsi="Arial" w:cs="Arial"/>
          <w:b/>
          <w:lang w:val="en-US" w:eastAsia="en-US"/>
        </w:rPr>
      </w:pPr>
    </w:p>
    <w:p w:rsidR="00D20CDC" w:rsidRDefault="00676359" w:rsidP="00D20CDC">
      <w:pPr>
        <w:spacing w:after="200" w:line="276" w:lineRule="auto"/>
        <w:contextualSpacing/>
        <w:jc w:val="both"/>
        <w:rPr>
          <w:rFonts w:ascii="Arial" w:eastAsia="Calibri" w:hAnsi="Arial" w:cs="Arial"/>
          <w:lang w:val="en-US" w:eastAsia="en-US"/>
        </w:rPr>
      </w:pPr>
      <w:r>
        <w:rPr>
          <w:rFonts w:ascii="Arial" w:eastAsia="Calibri" w:hAnsi="Arial" w:cs="Arial"/>
          <w:lang w:val="en-US" w:eastAsia="en-US"/>
        </w:rPr>
        <w:t xml:space="preserve">The CCO scheme </w:t>
      </w:r>
      <w:r w:rsidR="00D20CDC">
        <w:rPr>
          <w:rFonts w:ascii="Arial" w:eastAsia="Calibri" w:hAnsi="Arial" w:cs="Arial"/>
          <w:lang w:val="en-US" w:eastAsia="en-US"/>
        </w:rPr>
        <w:t>provide</w:t>
      </w:r>
      <w:r>
        <w:rPr>
          <w:rFonts w:ascii="Arial" w:eastAsia="Calibri" w:hAnsi="Arial" w:cs="Arial"/>
          <w:lang w:val="en-US" w:eastAsia="en-US"/>
        </w:rPr>
        <w:t>s</w:t>
      </w:r>
      <w:r w:rsidR="00D20CDC">
        <w:rPr>
          <w:rFonts w:ascii="Arial" w:eastAsia="Calibri" w:hAnsi="Arial" w:cs="Arial"/>
          <w:lang w:val="en-US" w:eastAsia="en-US"/>
        </w:rPr>
        <w:t xml:space="preserve"> magi</w:t>
      </w:r>
      <w:r>
        <w:rPr>
          <w:rFonts w:ascii="Arial" w:eastAsia="Calibri" w:hAnsi="Arial" w:cs="Arial"/>
          <w:lang w:val="en-US" w:eastAsia="en-US"/>
        </w:rPr>
        <w:t xml:space="preserve">strates (and occasionally, judges) with a useful </w:t>
      </w:r>
      <w:r w:rsidR="00D20CDC">
        <w:rPr>
          <w:rFonts w:ascii="Arial" w:eastAsia="Calibri" w:hAnsi="Arial" w:cs="Arial"/>
          <w:lang w:val="en-US" w:eastAsia="en-US"/>
        </w:rPr>
        <w:t>sentencing o</w:t>
      </w:r>
      <w:r>
        <w:rPr>
          <w:rFonts w:ascii="Arial" w:eastAsia="Calibri" w:hAnsi="Arial" w:cs="Arial"/>
          <w:lang w:val="en-US" w:eastAsia="en-US"/>
        </w:rPr>
        <w:t>ption.  However, CLANT</w:t>
      </w:r>
      <w:r w:rsidR="00D20CDC">
        <w:rPr>
          <w:rFonts w:ascii="Arial" w:eastAsia="Calibri" w:hAnsi="Arial" w:cs="Arial"/>
          <w:lang w:val="en-US" w:eastAsia="en-US"/>
        </w:rPr>
        <w:t xml:space="preserve"> is concerned that the resources required to enable CCOs to be implemented are unavailable in some remote communities in which offenders reside who would otherwise be eligible for this sentencing disposition.</w:t>
      </w:r>
    </w:p>
    <w:p w:rsidR="00D20CDC" w:rsidRDefault="00D20CDC" w:rsidP="00D20CDC">
      <w:pPr>
        <w:spacing w:after="200" w:line="276" w:lineRule="auto"/>
        <w:contextualSpacing/>
        <w:jc w:val="both"/>
        <w:rPr>
          <w:rFonts w:ascii="Arial" w:eastAsia="Calibri" w:hAnsi="Arial" w:cs="Arial"/>
          <w:lang w:val="en-US" w:eastAsia="en-US"/>
        </w:rPr>
      </w:pPr>
    </w:p>
    <w:p w:rsidR="00D20CDC" w:rsidRPr="00E55A44" w:rsidRDefault="00D20CDC" w:rsidP="00D20CDC">
      <w:pPr>
        <w:spacing w:after="200" w:line="276" w:lineRule="auto"/>
        <w:contextualSpacing/>
        <w:jc w:val="both"/>
        <w:rPr>
          <w:rFonts w:ascii="Arial" w:eastAsia="Calibri" w:hAnsi="Arial" w:cs="Arial"/>
          <w:lang w:val="en-US" w:eastAsia="en-US"/>
        </w:rPr>
      </w:pPr>
      <w:r>
        <w:rPr>
          <w:rFonts w:ascii="Arial" w:eastAsia="Calibri" w:hAnsi="Arial" w:cs="Arial"/>
          <w:lang w:val="en-US" w:eastAsia="en-US"/>
        </w:rPr>
        <w:t xml:space="preserve">Section 48L(2) of the </w:t>
      </w:r>
      <w:r>
        <w:rPr>
          <w:rFonts w:ascii="Arial" w:eastAsia="Calibri" w:hAnsi="Arial" w:cs="Arial"/>
          <w:i/>
          <w:lang w:val="en-US" w:eastAsia="en-US"/>
        </w:rPr>
        <w:t>Sentencing Act</w:t>
      </w:r>
      <w:r>
        <w:rPr>
          <w:rFonts w:ascii="Arial" w:eastAsia="Calibri" w:hAnsi="Arial" w:cs="Arial"/>
          <w:lang w:val="en-US" w:eastAsia="en-US"/>
        </w:rPr>
        <w:t xml:space="preserve"> provides that the court “must” impose imprisonment if a CCO is breached, unless it would be unjust to do so because of exceptional circumstances which have arisen since the order was imposed.  That is both abundantly clear and abundantly predictable. </w:t>
      </w:r>
    </w:p>
    <w:p w:rsidR="00D20CDC" w:rsidRPr="00667D09" w:rsidRDefault="00D20CDC" w:rsidP="00D20CDC">
      <w:pPr>
        <w:spacing w:after="200" w:line="276" w:lineRule="auto"/>
        <w:ind w:left="1080"/>
        <w:contextualSpacing/>
        <w:jc w:val="both"/>
        <w:rPr>
          <w:rFonts w:ascii="Arial" w:eastAsia="Calibri" w:hAnsi="Arial" w:cs="Arial"/>
          <w:b/>
          <w:lang w:val="en-US" w:eastAsia="en-US"/>
        </w:rPr>
      </w:pPr>
    </w:p>
    <w:p w:rsidR="00D20CDC" w:rsidRPr="00667D09" w:rsidRDefault="00D20CDC" w:rsidP="00D20CDC">
      <w:pPr>
        <w:numPr>
          <w:ilvl w:val="0"/>
          <w:numId w:val="3"/>
        </w:numPr>
        <w:spacing w:after="200" w:line="276" w:lineRule="auto"/>
        <w:contextualSpacing/>
        <w:jc w:val="both"/>
        <w:rPr>
          <w:rFonts w:ascii="Arial" w:eastAsia="Calibri" w:hAnsi="Arial" w:cs="Arial"/>
          <w:b/>
          <w:lang w:val="en-US" w:eastAsia="en-US"/>
        </w:rPr>
      </w:pPr>
      <w:r w:rsidRPr="00667D09">
        <w:rPr>
          <w:rFonts w:ascii="Arial" w:eastAsia="Calibri" w:hAnsi="Arial" w:cs="Arial"/>
          <w:b/>
          <w:lang w:val="en-US" w:eastAsia="en-US"/>
        </w:rPr>
        <w:t>Do you think that ‘flash incarceration’ would provide an effective deterrent to breaching court orders?</w:t>
      </w:r>
    </w:p>
    <w:p w:rsidR="00D20CDC" w:rsidRPr="00667D09" w:rsidRDefault="00D20CDC" w:rsidP="00D20CDC">
      <w:pPr>
        <w:spacing w:after="200" w:line="276" w:lineRule="auto"/>
        <w:ind w:left="720"/>
        <w:contextualSpacing/>
        <w:jc w:val="both"/>
        <w:rPr>
          <w:rFonts w:ascii="Arial" w:eastAsia="Calibri" w:hAnsi="Arial" w:cs="Arial"/>
          <w:b/>
          <w:lang w:val="en-US" w:eastAsia="en-US"/>
        </w:rPr>
      </w:pPr>
    </w:p>
    <w:p w:rsidR="00D20CDC" w:rsidRDefault="00D20CDC" w:rsidP="00D20CDC">
      <w:pPr>
        <w:spacing w:after="200" w:line="276" w:lineRule="auto"/>
        <w:jc w:val="both"/>
        <w:rPr>
          <w:rFonts w:ascii="Arial" w:eastAsia="Calibri" w:hAnsi="Arial" w:cs="Arial"/>
          <w:lang w:eastAsia="en-US"/>
        </w:rPr>
      </w:pPr>
      <w:r w:rsidRPr="00667D09">
        <w:rPr>
          <w:rFonts w:ascii="Arial" w:eastAsia="Calibri" w:hAnsi="Arial" w:cs="Arial"/>
          <w:lang w:eastAsia="en-US"/>
        </w:rPr>
        <w:t>Possibly</w:t>
      </w:r>
      <w:r w:rsidR="00676359">
        <w:rPr>
          <w:rFonts w:ascii="Arial" w:eastAsia="Calibri" w:hAnsi="Arial" w:cs="Arial"/>
          <w:lang w:eastAsia="en-US"/>
        </w:rPr>
        <w:t>.  CLANT</w:t>
      </w:r>
      <w:r>
        <w:rPr>
          <w:rFonts w:ascii="Arial" w:eastAsia="Calibri" w:hAnsi="Arial" w:cs="Arial"/>
          <w:lang w:eastAsia="en-US"/>
        </w:rPr>
        <w:t xml:space="preserve"> acknowledges </w:t>
      </w:r>
      <w:r w:rsidR="00676359">
        <w:rPr>
          <w:rFonts w:ascii="Arial" w:eastAsia="Calibri" w:hAnsi="Arial" w:cs="Arial"/>
          <w:lang w:eastAsia="en-US"/>
        </w:rPr>
        <w:t xml:space="preserve">and commends </w:t>
      </w:r>
      <w:r>
        <w:rPr>
          <w:rFonts w:ascii="Arial" w:eastAsia="Calibri" w:hAnsi="Arial" w:cs="Arial"/>
          <w:lang w:eastAsia="en-US"/>
        </w:rPr>
        <w:t>the impressive outcomes of the HOPE Program, and would welcome a trial of a similar initiative in the</w:t>
      </w:r>
      <w:r w:rsidR="00676359">
        <w:rPr>
          <w:rFonts w:ascii="Arial" w:eastAsia="Calibri" w:hAnsi="Arial" w:cs="Arial"/>
          <w:lang w:eastAsia="en-US"/>
        </w:rPr>
        <w:t xml:space="preserve"> NT.  However, </w:t>
      </w:r>
      <w:r>
        <w:rPr>
          <w:rFonts w:ascii="Arial" w:eastAsia="Calibri" w:hAnsi="Arial" w:cs="Arial"/>
          <w:lang w:eastAsia="en-US"/>
        </w:rPr>
        <w:t>“flash incarceration” is only one element of HOPE</w:t>
      </w:r>
      <w:r w:rsidR="00676359">
        <w:rPr>
          <w:rFonts w:ascii="Arial" w:eastAsia="Calibri" w:hAnsi="Arial" w:cs="Arial"/>
          <w:lang w:eastAsia="en-US"/>
        </w:rPr>
        <w:t xml:space="preserve">. </w:t>
      </w:r>
      <w:r>
        <w:rPr>
          <w:rFonts w:ascii="Arial" w:eastAsia="Calibri" w:hAnsi="Arial" w:cs="Arial"/>
          <w:lang w:eastAsia="en-US"/>
        </w:rPr>
        <w:t xml:space="preserve"> In particular, if a version of the HOPE program were to be introduced</w:t>
      </w:r>
      <w:r w:rsidR="00676359">
        <w:rPr>
          <w:rFonts w:ascii="Arial" w:eastAsia="Calibri" w:hAnsi="Arial" w:cs="Arial"/>
          <w:lang w:eastAsia="en-US"/>
        </w:rPr>
        <w:t xml:space="preserve"> in the NT</w:t>
      </w:r>
      <w:r>
        <w:rPr>
          <w:rFonts w:ascii="Arial" w:eastAsia="Calibri" w:hAnsi="Arial" w:cs="Arial"/>
          <w:lang w:eastAsia="en-US"/>
        </w:rPr>
        <w:t xml:space="preserve">, it is essential that sufficient resources be provided to enable the intensive case management by specially trained probation officers </w:t>
      </w:r>
      <w:r w:rsidR="00ED2AFD">
        <w:rPr>
          <w:rFonts w:ascii="Arial" w:eastAsia="Calibri" w:hAnsi="Arial" w:cs="Arial"/>
          <w:lang w:eastAsia="en-US"/>
        </w:rPr>
        <w:t>which</w:t>
      </w:r>
      <w:r>
        <w:rPr>
          <w:rFonts w:ascii="Arial" w:eastAsia="Calibri" w:hAnsi="Arial" w:cs="Arial"/>
          <w:lang w:eastAsia="en-US"/>
        </w:rPr>
        <w:t xml:space="preserve"> is an essential feature of the program.</w:t>
      </w:r>
      <w:r>
        <w:rPr>
          <w:rStyle w:val="FootnoteReference"/>
          <w:rFonts w:ascii="Arial" w:eastAsia="Calibri" w:hAnsi="Arial"/>
          <w:lang w:eastAsia="en-US"/>
        </w:rPr>
        <w:footnoteReference w:id="3"/>
      </w:r>
      <w:r w:rsidR="00676359">
        <w:rPr>
          <w:rFonts w:ascii="Arial" w:eastAsia="Calibri" w:hAnsi="Arial" w:cs="Arial"/>
          <w:lang w:eastAsia="en-US"/>
        </w:rPr>
        <w:t xml:space="preserve">  </w:t>
      </w:r>
    </w:p>
    <w:p w:rsidR="00D20CDC" w:rsidRDefault="00694D0D" w:rsidP="00694D0D">
      <w:pPr>
        <w:spacing w:after="200" w:line="276" w:lineRule="auto"/>
        <w:contextualSpacing/>
        <w:jc w:val="both"/>
        <w:rPr>
          <w:rFonts w:ascii="Arial" w:eastAsia="Calibri" w:hAnsi="Arial" w:cs="Arial"/>
          <w:lang w:eastAsia="en-US"/>
        </w:rPr>
      </w:pPr>
      <w:r>
        <w:rPr>
          <w:rFonts w:ascii="Arial" w:eastAsia="Calibri" w:hAnsi="Arial" w:cs="Arial"/>
          <w:lang w:eastAsia="en-US"/>
        </w:rPr>
        <w:t xml:space="preserve">CLANT has </w:t>
      </w:r>
      <w:r w:rsidR="00ED2AFD">
        <w:rPr>
          <w:rFonts w:ascii="Arial" w:eastAsia="Calibri" w:hAnsi="Arial" w:cs="Arial"/>
          <w:lang w:eastAsia="en-US"/>
        </w:rPr>
        <w:t>watched on</w:t>
      </w:r>
      <w:r>
        <w:rPr>
          <w:rFonts w:ascii="Arial" w:eastAsia="Calibri" w:hAnsi="Arial" w:cs="Arial"/>
          <w:lang w:eastAsia="en-US"/>
        </w:rPr>
        <w:t xml:space="preserve"> with frustration as previous therapeutic justice programs – the CREDIT Court, the SMART Court, the Alcohol Court </w:t>
      </w:r>
      <w:r>
        <w:rPr>
          <w:rFonts w:ascii="Arial" w:eastAsia="Calibri" w:hAnsi="Arial" w:cs="Arial"/>
          <w:lang w:eastAsia="en-US"/>
        </w:rPr>
        <w:softHyphen/>
      </w:r>
      <w:r>
        <w:rPr>
          <w:rFonts w:ascii="Arial" w:eastAsia="Calibri" w:hAnsi="Arial" w:cs="Arial"/>
          <w:lang w:eastAsia="en-US"/>
        </w:rPr>
        <w:softHyphen/>
        <w:t>– have</w:t>
      </w:r>
      <w:r w:rsidR="00ED2AFD">
        <w:rPr>
          <w:rFonts w:ascii="Arial" w:eastAsia="Calibri" w:hAnsi="Arial" w:cs="Arial"/>
          <w:lang w:eastAsia="en-US"/>
        </w:rPr>
        <w:t xml:space="preserve"> been successively introduced and then abandoned</w:t>
      </w:r>
      <w:r>
        <w:rPr>
          <w:rFonts w:ascii="Arial" w:eastAsia="Calibri" w:hAnsi="Arial" w:cs="Arial"/>
          <w:lang w:eastAsia="en-US"/>
        </w:rPr>
        <w:t>.  If HOPE is trialled in the Territory, then CLANT urges that, unlike its predecessors, it be given a fair go, and adequate support.</w:t>
      </w:r>
    </w:p>
    <w:p w:rsidR="00694D0D" w:rsidRPr="00667D09" w:rsidRDefault="00694D0D" w:rsidP="00694D0D">
      <w:pPr>
        <w:spacing w:after="200" w:line="276" w:lineRule="auto"/>
        <w:contextualSpacing/>
        <w:jc w:val="both"/>
        <w:rPr>
          <w:rFonts w:ascii="Arial" w:eastAsia="Calibri" w:hAnsi="Arial" w:cs="Arial"/>
          <w:b/>
          <w:lang w:val="en-US" w:eastAsia="en-US"/>
        </w:rPr>
      </w:pPr>
    </w:p>
    <w:p w:rsidR="00D20CDC" w:rsidRPr="00667D09" w:rsidRDefault="00D20CDC" w:rsidP="00D20CDC">
      <w:pPr>
        <w:numPr>
          <w:ilvl w:val="0"/>
          <w:numId w:val="3"/>
        </w:numPr>
        <w:spacing w:after="200" w:line="276" w:lineRule="auto"/>
        <w:contextualSpacing/>
        <w:jc w:val="both"/>
        <w:rPr>
          <w:rFonts w:ascii="Arial" w:eastAsia="Calibri" w:hAnsi="Arial" w:cs="Arial"/>
          <w:b/>
          <w:lang w:val="en-US" w:eastAsia="en-US"/>
        </w:rPr>
      </w:pPr>
      <w:r w:rsidRPr="00667D09">
        <w:rPr>
          <w:rFonts w:ascii="Arial" w:eastAsia="Calibri" w:hAnsi="Arial" w:cs="Arial"/>
          <w:b/>
          <w:lang w:val="en-US" w:eastAsia="en-US"/>
        </w:rPr>
        <w:t>Do you think that there are particular modifications to the HOPE model that would be required for the NT context in order for it to be effective?</w:t>
      </w:r>
    </w:p>
    <w:p w:rsidR="00D20CDC" w:rsidRDefault="00D20CDC" w:rsidP="00694D0D">
      <w:pPr>
        <w:spacing w:after="200" w:line="276" w:lineRule="auto"/>
        <w:contextualSpacing/>
        <w:jc w:val="both"/>
        <w:rPr>
          <w:rFonts w:ascii="Arial" w:eastAsia="Calibri" w:hAnsi="Arial" w:cs="Arial"/>
          <w:lang w:val="en-US" w:eastAsia="en-US"/>
        </w:rPr>
      </w:pPr>
    </w:p>
    <w:p w:rsidR="00694D0D" w:rsidRDefault="00694D0D" w:rsidP="00694D0D">
      <w:pPr>
        <w:spacing w:after="200" w:line="276" w:lineRule="auto"/>
        <w:contextualSpacing/>
        <w:jc w:val="both"/>
        <w:rPr>
          <w:rFonts w:ascii="Arial" w:eastAsia="Calibri" w:hAnsi="Arial" w:cs="Arial"/>
          <w:lang w:val="en-US" w:eastAsia="en-US"/>
        </w:rPr>
      </w:pPr>
      <w:r>
        <w:rPr>
          <w:rFonts w:ascii="Arial" w:eastAsia="Calibri" w:hAnsi="Arial" w:cs="Arial"/>
          <w:lang w:val="en-US" w:eastAsia="en-US"/>
        </w:rPr>
        <w:t xml:space="preserve">Probably.  If a decision is made to establish HOPE in the NT, then it should be commenced on a pilot basis in a single location, supported and guided by a </w:t>
      </w:r>
      <w:r>
        <w:rPr>
          <w:rFonts w:ascii="Arial" w:eastAsia="Calibri" w:hAnsi="Arial" w:cs="Arial"/>
          <w:lang w:val="en-US" w:eastAsia="en-US"/>
        </w:rPr>
        <w:lastRenderedPageBreak/>
        <w:t>reference group or steering committee to enable appropriate modifications to be made to meet local circumstances and needs.</w:t>
      </w:r>
    </w:p>
    <w:p w:rsidR="00694D0D" w:rsidRDefault="00694D0D" w:rsidP="00694D0D">
      <w:pPr>
        <w:spacing w:after="200" w:line="276" w:lineRule="auto"/>
        <w:contextualSpacing/>
        <w:jc w:val="both"/>
        <w:rPr>
          <w:rFonts w:ascii="Arial" w:eastAsia="Calibri" w:hAnsi="Arial" w:cs="Arial"/>
          <w:lang w:val="en-US" w:eastAsia="en-US"/>
        </w:rPr>
      </w:pPr>
    </w:p>
    <w:p w:rsidR="00D20CDC" w:rsidRPr="00667D09" w:rsidRDefault="00D20CDC" w:rsidP="00D20CDC">
      <w:pPr>
        <w:numPr>
          <w:ilvl w:val="0"/>
          <w:numId w:val="3"/>
        </w:numPr>
        <w:spacing w:after="200" w:line="276" w:lineRule="auto"/>
        <w:contextualSpacing/>
        <w:jc w:val="both"/>
        <w:rPr>
          <w:rFonts w:ascii="Arial" w:eastAsia="Calibri" w:hAnsi="Arial" w:cs="Arial"/>
          <w:b/>
          <w:lang w:val="en-US" w:eastAsia="en-US"/>
        </w:rPr>
      </w:pPr>
      <w:r w:rsidRPr="00667D09">
        <w:rPr>
          <w:rFonts w:ascii="Arial" w:eastAsia="Calibri" w:hAnsi="Arial" w:cs="Arial"/>
          <w:b/>
          <w:lang w:val="en-US" w:eastAsia="en-US"/>
        </w:rPr>
        <w:t xml:space="preserve">Do you have any comments about the use of electronic monitoring? </w:t>
      </w:r>
    </w:p>
    <w:p w:rsidR="00D20CDC" w:rsidRDefault="00D20CDC" w:rsidP="00D20CDC">
      <w:pPr>
        <w:spacing w:after="200" w:line="276" w:lineRule="auto"/>
        <w:contextualSpacing/>
        <w:jc w:val="both"/>
        <w:rPr>
          <w:rFonts w:ascii="Arial" w:eastAsia="Calibri" w:hAnsi="Arial" w:cs="Arial"/>
          <w:lang w:eastAsia="en-US"/>
        </w:rPr>
      </w:pPr>
    </w:p>
    <w:p w:rsidR="00D20CDC" w:rsidRDefault="00694D0D" w:rsidP="00D20CDC">
      <w:pPr>
        <w:spacing w:after="200" w:line="276" w:lineRule="auto"/>
        <w:contextualSpacing/>
        <w:jc w:val="both"/>
        <w:rPr>
          <w:rFonts w:ascii="Arial" w:eastAsia="Calibri" w:hAnsi="Arial" w:cs="Arial"/>
          <w:b/>
          <w:lang w:val="en-US" w:eastAsia="en-US"/>
        </w:rPr>
      </w:pPr>
      <w:r>
        <w:rPr>
          <w:rFonts w:ascii="Arial" w:eastAsia="Calibri" w:hAnsi="Arial" w:cs="Arial"/>
          <w:lang w:eastAsia="en-US"/>
        </w:rPr>
        <w:t xml:space="preserve">CLANT </w:t>
      </w:r>
      <w:r w:rsidR="007C7537">
        <w:rPr>
          <w:rFonts w:ascii="Arial" w:eastAsia="Calibri" w:hAnsi="Arial" w:cs="Arial"/>
          <w:lang w:eastAsia="en-US"/>
        </w:rPr>
        <w:t xml:space="preserve">generally supports the use of electronic monitoring, which provides an effective </w:t>
      </w:r>
      <w:r w:rsidR="007C7537">
        <w:rPr>
          <w:rFonts w:ascii="Arial" w:eastAsia="Calibri" w:hAnsi="Arial" w:cs="Arial"/>
          <w:lang w:eastAsia="en-US"/>
        </w:rPr>
        <w:softHyphen/>
        <w:t xml:space="preserve">– and cost-effective – alternative to custodial measures for defendants and offenders who would otherwise be assessed as posing an unacceptable risk of </w:t>
      </w:r>
      <w:r w:rsidR="00ED2AFD">
        <w:rPr>
          <w:rFonts w:ascii="Arial" w:eastAsia="Calibri" w:hAnsi="Arial" w:cs="Arial"/>
          <w:lang w:eastAsia="en-US"/>
        </w:rPr>
        <w:t>re-</w:t>
      </w:r>
      <w:r w:rsidR="007C7537">
        <w:rPr>
          <w:rFonts w:ascii="Arial" w:eastAsia="Calibri" w:hAnsi="Arial" w:cs="Arial"/>
          <w:lang w:eastAsia="en-US"/>
        </w:rPr>
        <w:t xml:space="preserve">offending </w:t>
      </w:r>
      <w:r w:rsidR="00ED2AFD">
        <w:rPr>
          <w:rFonts w:ascii="Arial" w:eastAsia="Calibri" w:hAnsi="Arial" w:cs="Arial"/>
          <w:lang w:eastAsia="en-US"/>
        </w:rPr>
        <w:t>and/</w:t>
      </w:r>
      <w:r w:rsidR="007C7537">
        <w:rPr>
          <w:rFonts w:ascii="Arial" w:eastAsia="Calibri" w:hAnsi="Arial" w:cs="Arial"/>
          <w:lang w:eastAsia="en-US"/>
        </w:rPr>
        <w:t>or absconding.  CLANT does have reservations, however, about its extension to youths, and the risk that its increasing use will result in the general “ratcheting up” of intrusive surveillance measures.</w:t>
      </w:r>
    </w:p>
    <w:p w:rsidR="00D20CDC" w:rsidRPr="00667D09" w:rsidRDefault="00D20CDC" w:rsidP="00D20CDC">
      <w:pPr>
        <w:spacing w:after="200" w:line="276" w:lineRule="auto"/>
        <w:contextualSpacing/>
        <w:jc w:val="both"/>
        <w:rPr>
          <w:rFonts w:ascii="Arial" w:eastAsia="Calibri" w:hAnsi="Arial" w:cs="Arial"/>
          <w:b/>
          <w:lang w:val="en-US" w:eastAsia="en-US"/>
        </w:rPr>
      </w:pPr>
    </w:p>
    <w:p w:rsidR="00D20CDC" w:rsidRPr="000C6515" w:rsidRDefault="00D20CDC" w:rsidP="00D20CDC">
      <w:pPr>
        <w:numPr>
          <w:ilvl w:val="0"/>
          <w:numId w:val="3"/>
        </w:numPr>
        <w:spacing w:after="200" w:line="276" w:lineRule="auto"/>
        <w:contextualSpacing/>
        <w:jc w:val="both"/>
        <w:rPr>
          <w:rFonts w:ascii="Arial" w:eastAsia="Calibri" w:hAnsi="Arial" w:cs="Arial"/>
          <w:b/>
          <w:lang w:val="en-US" w:eastAsia="en-US"/>
        </w:rPr>
      </w:pPr>
      <w:r w:rsidRPr="00667D09">
        <w:rPr>
          <w:rFonts w:ascii="Arial" w:eastAsia="Calibri" w:hAnsi="Arial" w:cs="Arial"/>
          <w:b/>
          <w:lang w:val="en-US" w:eastAsia="en-US"/>
        </w:rPr>
        <w:t>Do you think that the use of alarms would achieve the aim of protecting victims of domestic and family violence and deterring perpetrators from attempting to interact with them?</w:t>
      </w:r>
    </w:p>
    <w:p w:rsidR="00D20CDC" w:rsidRDefault="00D20CDC" w:rsidP="00D20CDC">
      <w:pPr>
        <w:spacing w:after="200" w:line="276" w:lineRule="auto"/>
        <w:contextualSpacing/>
        <w:jc w:val="both"/>
        <w:rPr>
          <w:rFonts w:ascii="Arial" w:eastAsia="Calibri" w:hAnsi="Arial" w:cs="Arial"/>
          <w:lang w:val="en-US" w:eastAsia="en-US"/>
        </w:rPr>
      </w:pPr>
    </w:p>
    <w:p w:rsidR="007C7537" w:rsidRPr="00667D09" w:rsidRDefault="00E61DDE" w:rsidP="00D20CDC">
      <w:pPr>
        <w:spacing w:after="200" w:line="276" w:lineRule="auto"/>
        <w:contextualSpacing/>
        <w:jc w:val="both"/>
        <w:rPr>
          <w:rFonts w:ascii="Arial" w:eastAsia="Calibri" w:hAnsi="Arial" w:cs="Arial"/>
          <w:lang w:val="en-US" w:eastAsia="en-US"/>
        </w:rPr>
      </w:pPr>
      <w:r>
        <w:rPr>
          <w:rFonts w:ascii="Arial" w:eastAsia="Calibri" w:hAnsi="Arial" w:cs="Arial"/>
          <w:lang w:val="en-US" w:eastAsia="en-US"/>
        </w:rPr>
        <w:t xml:space="preserve">Possibly. This measure has been </w:t>
      </w:r>
      <w:proofErr w:type="spellStart"/>
      <w:r>
        <w:rPr>
          <w:rFonts w:ascii="Arial" w:eastAsia="Calibri" w:hAnsi="Arial" w:cs="Arial"/>
          <w:lang w:val="en-US" w:eastAsia="en-US"/>
        </w:rPr>
        <w:t>utilised</w:t>
      </w:r>
      <w:proofErr w:type="spellEnd"/>
      <w:r>
        <w:rPr>
          <w:rFonts w:ascii="Arial" w:eastAsia="Calibri" w:hAnsi="Arial" w:cs="Arial"/>
          <w:lang w:val="en-US" w:eastAsia="en-US"/>
        </w:rPr>
        <w:t xml:space="preserve"> in NSW since 2012, and </w:t>
      </w:r>
      <w:r w:rsidR="006C6F19">
        <w:rPr>
          <w:rFonts w:ascii="Arial" w:eastAsia="Calibri" w:hAnsi="Arial" w:cs="Arial"/>
          <w:lang w:val="en-US" w:eastAsia="en-US"/>
        </w:rPr>
        <w:t>is</w:t>
      </w:r>
      <w:r>
        <w:rPr>
          <w:rFonts w:ascii="Arial" w:eastAsia="Calibri" w:hAnsi="Arial" w:cs="Arial"/>
          <w:lang w:val="en-US" w:eastAsia="en-US"/>
        </w:rPr>
        <w:t xml:space="preserve"> currently being </w:t>
      </w:r>
      <w:proofErr w:type="spellStart"/>
      <w:r>
        <w:rPr>
          <w:rFonts w:ascii="Arial" w:eastAsia="Calibri" w:hAnsi="Arial" w:cs="Arial"/>
          <w:lang w:val="en-US" w:eastAsia="en-US"/>
        </w:rPr>
        <w:t>trialled</w:t>
      </w:r>
      <w:proofErr w:type="spellEnd"/>
      <w:r>
        <w:rPr>
          <w:rFonts w:ascii="Arial" w:eastAsia="Calibri" w:hAnsi="Arial" w:cs="Arial"/>
          <w:lang w:val="en-US" w:eastAsia="en-US"/>
        </w:rPr>
        <w:t xml:space="preserve"> in Victoria.</w:t>
      </w:r>
      <w:r w:rsidR="006C6F19">
        <w:rPr>
          <w:rFonts w:ascii="Arial" w:eastAsia="Calibri" w:hAnsi="Arial" w:cs="Arial"/>
          <w:lang w:val="en-US" w:eastAsia="en-US"/>
        </w:rPr>
        <w:t xml:space="preserve">  Before committing to the introduction of proximity alarms, the NT should closely observe the experience of using them in other jurisdictions.</w:t>
      </w:r>
    </w:p>
    <w:p w:rsidR="00D20CDC" w:rsidRPr="00667D09" w:rsidRDefault="00D20CDC" w:rsidP="00D20CDC">
      <w:pPr>
        <w:spacing w:after="200" w:line="276" w:lineRule="auto"/>
        <w:ind w:left="1080"/>
        <w:contextualSpacing/>
        <w:jc w:val="both"/>
        <w:rPr>
          <w:rFonts w:ascii="Arial" w:eastAsia="Calibri" w:hAnsi="Arial" w:cs="Arial"/>
          <w:b/>
          <w:lang w:val="en-US" w:eastAsia="en-US"/>
        </w:rPr>
      </w:pPr>
    </w:p>
    <w:p w:rsidR="00D20CDC" w:rsidRPr="000C6515" w:rsidRDefault="00D20CDC" w:rsidP="00D20CDC">
      <w:pPr>
        <w:numPr>
          <w:ilvl w:val="0"/>
          <w:numId w:val="3"/>
        </w:numPr>
        <w:spacing w:after="200" w:line="276" w:lineRule="auto"/>
        <w:contextualSpacing/>
        <w:jc w:val="both"/>
        <w:rPr>
          <w:rFonts w:ascii="Arial" w:eastAsia="Calibri" w:hAnsi="Arial" w:cs="Arial"/>
          <w:b/>
          <w:lang w:val="en-US" w:eastAsia="en-US"/>
        </w:rPr>
      </w:pPr>
      <w:r w:rsidRPr="00667D09">
        <w:rPr>
          <w:rFonts w:ascii="Arial" w:eastAsia="Calibri" w:hAnsi="Arial" w:cs="Arial"/>
          <w:b/>
          <w:lang w:val="en-US" w:eastAsia="en-US"/>
        </w:rPr>
        <w:t>Do you think that proximity alarm or a personal safety device would be a more effective tool?</w:t>
      </w:r>
    </w:p>
    <w:p w:rsidR="006C6F19" w:rsidRDefault="006C6F19" w:rsidP="00D20CDC">
      <w:pPr>
        <w:spacing w:after="200" w:line="276" w:lineRule="auto"/>
        <w:contextualSpacing/>
        <w:jc w:val="both"/>
        <w:rPr>
          <w:rFonts w:ascii="Arial" w:eastAsia="Calibri" w:hAnsi="Arial" w:cs="Arial"/>
          <w:lang w:val="en-US" w:eastAsia="en-US"/>
        </w:rPr>
      </w:pPr>
    </w:p>
    <w:p w:rsidR="00D20CDC" w:rsidRPr="00667D09" w:rsidRDefault="006C6F19" w:rsidP="00D20CDC">
      <w:pPr>
        <w:spacing w:after="200" w:line="276" w:lineRule="auto"/>
        <w:contextualSpacing/>
        <w:jc w:val="both"/>
        <w:rPr>
          <w:rFonts w:ascii="Arial" w:eastAsia="Calibri" w:hAnsi="Arial" w:cs="Arial"/>
          <w:lang w:val="en-US" w:eastAsia="en-US"/>
        </w:rPr>
      </w:pPr>
      <w:r>
        <w:rPr>
          <w:rFonts w:ascii="Arial" w:eastAsia="Calibri" w:hAnsi="Arial" w:cs="Arial"/>
          <w:lang w:val="en-US" w:eastAsia="en-US"/>
        </w:rPr>
        <w:t>See previous answer</w:t>
      </w:r>
      <w:r w:rsidR="00D20CDC" w:rsidRPr="00667D09">
        <w:rPr>
          <w:rFonts w:ascii="Arial" w:eastAsia="Calibri" w:hAnsi="Arial" w:cs="Arial"/>
          <w:lang w:val="en-US" w:eastAsia="en-US"/>
        </w:rPr>
        <w:t xml:space="preserve"> </w:t>
      </w:r>
    </w:p>
    <w:p w:rsidR="00D20CDC" w:rsidRPr="00667D09" w:rsidRDefault="00D20CDC" w:rsidP="00D20CDC">
      <w:pPr>
        <w:spacing w:after="200" w:line="276" w:lineRule="auto"/>
        <w:ind w:left="1080"/>
        <w:contextualSpacing/>
        <w:jc w:val="both"/>
        <w:rPr>
          <w:rFonts w:ascii="Arial" w:eastAsia="Calibri" w:hAnsi="Arial" w:cs="Arial"/>
          <w:b/>
          <w:lang w:val="en-US" w:eastAsia="en-US"/>
        </w:rPr>
      </w:pPr>
    </w:p>
    <w:p w:rsidR="00D20CDC" w:rsidRPr="00667D09" w:rsidRDefault="00D20CDC" w:rsidP="00D20CDC">
      <w:pPr>
        <w:numPr>
          <w:ilvl w:val="0"/>
          <w:numId w:val="3"/>
        </w:numPr>
        <w:spacing w:after="200" w:line="276" w:lineRule="auto"/>
        <w:contextualSpacing/>
        <w:jc w:val="both"/>
        <w:rPr>
          <w:rFonts w:ascii="Arial" w:eastAsia="Calibri" w:hAnsi="Arial" w:cs="Arial"/>
          <w:b/>
          <w:lang w:val="en-US" w:eastAsia="en-US"/>
        </w:rPr>
      </w:pPr>
      <w:r w:rsidRPr="00667D09">
        <w:rPr>
          <w:rFonts w:ascii="Arial" w:eastAsia="Calibri" w:hAnsi="Arial" w:cs="Arial"/>
          <w:b/>
          <w:lang w:val="en-US" w:eastAsia="en-US"/>
        </w:rPr>
        <w:t xml:space="preserve">Are there other methods that you consider would be more effective in achieving the aims of protecting victims of domestic and family violence and deterring perpetrators? </w:t>
      </w:r>
    </w:p>
    <w:p w:rsidR="00D20CDC" w:rsidRDefault="00D20CDC" w:rsidP="00D20CDC">
      <w:pPr>
        <w:spacing w:after="200" w:line="276" w:lineRule="auto"/>
        <w:ind w:left="1080"/>
        <w:contextualSpacing/>
        <w:jc w:val="both"/>
        <w:rPr>
          <w:rFonts w:ascii="Arial" w:eastAsia="Calibri" w:hAnsi="Arial" w:cs="Arial"/>
          <w:lang w:val="en-US" w:eastAsia="en-US"/>
        </w:rPr>
      </w:pPr>
    </w:p>
    <w:p w:rsidR="006C6F19" w:rsidRDefault="006C6F19" w:rsidP="006C6F19">
      <w:pPr>
        <w:spacing w:after="200" w:line="276" w:lineRule="auto"/>
        <w:contextualSpacing/>
        <w:jc w:val="both"/>
        <w:rPr>
          <w:rFonts w:ascii="Arial" w:eastAsia="Calibri" w:hAnsi="Arial" w:cs="Arial"/>
          <w:lang w:val="en-US" w:eastAsia="en-US"/>
        </w:rPr>
      </w:pPr>
      <w:r>
        <w:rPr>
          <w:rFonts w:ascii="Arial" w:eastAsia="Calibri" w:hAnsi="Arial" w:cs="Arial"/>
          <w:lang w:val="en-US" w:eastAsia="en-US"/>
        </w:rPr>
        <w:t xml:space="preserve">As stated above, CLANT supports the DFVRS. </w:t>
      </w:r>
      <w:r w:rsidR="005B2BD0">
        <w:rPr>
          <w:rFonts w:ascii="Arial" w:eastAsia="Calibri" w:hAnsi="Arial" w:cs="Arial"/>
          <w:lang w:val="en-US" w:eastAsia="en-US"/>
        </w:rPr>
        <w:t>In addition, CLANT supports the establishment of a Domestic and Family Violence Death Review Unit.</w:t>
      </w:r>
      <w:r w:rsidR="005B2BD0">
        <w:rPr>
          <w:rStyle w:val="FootnoteReference"/>
          <w:rFonts w:ascii="Arial" w:eastAsia="Calibri" w:hAnsi="Arial"/>
          <w:lang w:val="en-US" w:eastAsia="en-US"/>
        </w:rPr>
        <w:footnoteReference w:id="4"/>
      </w:r>
    </w:p>
    <w:p w:rsidR="006C6F19" w:rsidRDefault="006C6F19" w:rsidP="00D20CDC">
      <w:pPr>
        <w:spacing w:after="200" w:line="276" w:lineRule="auto"/>
        <w:ind w:left="1080"/>
        <w:contextualSpacing/>
        <w:jc w:val="both"/>
        <w:rPr>
          <w:rFonts w:ascii="Arial" w:eastAsia="Calibri" w:hAnsi="Arial" w:cs="Arial"/>
          <w:lang w:val="en-US" w:eastAsia="en-US"/>
        </w:rPr>
      </w:pPr>
    </w:p>
    <w:p w:rsidR="00D20CDC" w:rsidRPr="00667D09" w:rsidRDefault="00D20CDC" w:rsidP="00D20CDC">
      <w:pPr>
        <w:numPr>
          <w:ilvl w:val="0"/>
          <w:numId w:val="3"/>
        </w:numPr>
        <w:spacing w:after="200" w:line="276" w:lineRule="auto"/>
        <w:contextualSpacing/>
        <w:jc w:val="both"/>
        <w:rPr>
          <w:rFonts w:ascii="Arial" w:eastAsia="Calibri" w:hAnsi="Arial" w:cs="Arial"/>
          <w:b/>
          <w:lang w:val="en-US" w:eastAsia="en-US"/>
        </w:rPr>
      </w:pPr>
      <w:r w:rsidRPr="00667D09">
        <w:rPr>
          <w:rFonts w:ascii="Arial" w:eastAsia="Calibri" w:hAnsi="Arial" w:cs="Arial"/>
          <w:b/>
          <w:lang w:val="en-US" w:eastAsia="en-US"/>
        </w:rPr>
        <w:t>Do you have any comments on the proposal to broaden the scope of the Witness Assistance Service to encompass a greater number of victims of domestic violence.  In particular, how might this be achieved?</w:t>
      </w:r>
    </w:p>
    <w:p w:rsidR="00D20CDC" w:rsidRDefault="00D20CDC" w:rsidP="00D20CDC">
      <w:pPr>
        <w:spacing w:after="200" w:line="276" w:lineRule="auto"/>
        <w:contextualSpacing/>
        <w:jc w:val="both"/>
        <w:rPr>
          <w:rFonts w:ascii="Arial" w:eastAsia="Calibri" w:hAnsi="Arial" w:cs="Arial"/>
          <w:lang w:val="en-US" w:eastAsia="en-US"/>
        </w:rPr>
      </w:pPr>
    </w:p>
    <w:p w:rsidR="00D20CDC" w:rsidRDefault="006C6F19" w:rsidP="00D20CDC">
      <w:pPr>
        <w:spacing w:after="200" w:line="276" w:lineRule="auto"/>
        <w:contextualSpacing/>
        <w:jc w:val="both"/>
        <w:rPr>
          <w:rFonts w:ascii="Arial" w:eastAsia="Calibri" w:hAnsi="Arial" w:cs="Arial"/>
          <w:lang w:val="en-US" w:eastAsia="en-US"/>
        </w:rPr>
      </w:pPr>
      <w:r>
        <w:rPr>
          <w:rFonts w:ascii="Arial" w:eastAsia="Calibri" w:hAnsi="Arial" w:cs="Arial"/>
          <w:lang w:val="en-US" w:eastAsia="en-US"/>
        </w:rPr>
        <w:t>CLANT supports the extension of t</w:t>
      </w:r>
      <w:r w:rsidR="00945D97">
        <w:rPr>
          <w:rFonts w:ascii="Arial" w:eastAsia="Calibri" w:hAnsi="Arial" w:cs="Arial"/>
          <w:lang w:val="en-US" w:eastAsia="en-US"/>
        </w:rPr>
        <w:t>he Witness Assistance Service by providing more counsellors, and more officers at court to support victims.</w:t>
      </w:r>
    </w:p>
    <w:p w:rsidR="006C6F19" w:rsidRPr="00667D09" w:rsidRDefault="006C6F19" w:rsidP="00D20CDC">
      <w:pPr>
        <w:spacing w:after="200" w:line="276" w:lineRule="auto"/>
        <w:contextualSpacing/>
        <w:jc w:val="both"/>
        <w:rPr>
          <w:rFonts w:ascii="Arial" w:eastAsia="Calibri" w:hAnsi="Arial" w:cs="Arial"/>
          <w:lang w:val="en-US" w:eastAsia="en-US"/>
        </w:rPr>
      </w:pPr>
    </w:p>
    <w:p w:rsidR="00D20CDC" w:rsidRPr="00667D09" w:rsidRDefault="00D20CDC" w:rsidP="00D20CDC">
      <w:pPr>
        <w:numPr>
          <w:ilvl w:val="0"/>
          <w:numId w:val="3"/>
        </w:numPr>
        <w:spacing w:after="200" w:line="276" w:lineRule="auto"/>
        <w:contextualSpacing/>
        <w:jc w:val="both"/>
        <w:rPr>
          <w:rFonts w:ascii="Arial" w:eastAsia="Calibri" w:hAnsi="Arial" w:cs="Arial"/>
          <w:b/>
          <w:lang w:val="en-US" w:eastAsia="en-US"/>
        </w:rPr>
      </w:pPr>
      <w:r w:rsidRPr="00667D09">
        <w:rPr>
          <w:rFonts w:ascii="Arial" w:eastAsia="Calibri" w:hAnsi="Arial" w:cs="Arial"/>
          <w:b/>
          <w:lang w:val="en-US" w:eastAsia="en-US"/>
        </w:rPr>
        <w:lastRenderedPageBreak/>
        <w:t>Should there be a separate speciali</w:t>
      </w:r>
      <w:r>
        <w:rPr>
          <w:rFonts w:ascii="Arial" w:eastAsia="Calibri" w:hAnsi="Arial" w:cs="Arial"/>
          <w:b/>
          <w:lang w:val="en-US" w:eastAsia="en-US"/>
        </w:rPr>
        <w:t>s</w:t>
      </w:r>
      <w:r w:rsidRPr="00667D09">
        <w:rPr>
          <w:rFonts w:ascii="Arial" w:eastAsia="Calibri" w:hAnsi="Arial" w:cs="Arial"/>
          <w:b/>
          <w:lang w:val="en-US" w:eastAsia="en-US"/>
        </w:rPr>
        <w:t xml:space="preserve">ed list for criminal prosecutions involving domestic violence in the Court of Summary Jurisdiction? </w:t>
      </w:r>
    </w:p>
    <w:p w:rsidR="00D20CDC" w:rsidRPr="00667D09" w:rsidRDefault="00D20CDC" w:rsidP="00D20CDC">
      <w:pPr>
        <w:spacing w:after="200" w:line="276" w:lineRule="auto"/>
        <w:ind w:left="720"/>
        <w:contextualSpacing/>
        <w:jc w:val="both"/>
        <w:rPr>
          <w:rFonts w:ascii="Arial" w:eastAsia="Calibri" w:hAnsi="Arial" w:cs="Arial"/>
          <w:b/>
          <w:lang w:val="en-US" w:eastAsia="en-US"/>
        </w:rPr>
      </w:pPr>
    </w:p>
    <w:p w:rsidR="00D20CDC" w:rsidRPr="00395099" w:rsidRDefault="00945D97" w:rsidP="00D20CDC">
      <w:pPr>
        <w:spacing w:after="200" w:line="276" w:lineRule="auto"/>
        <w:contextualSpacing/>
        <w:jc w:val="both"/>
        <w:rPr>
          <w:rFonts w:ascii="Arial" w:eastAsia="Calibri" w:hAnsi="Arial" w:cs="Arial"/>
          <w:lang w:val="en-US" w:eastAsia="en-US"/>
        </w:rPr>
      </w:pPr>
      <w:r>
        <w:rPr>
          <w:rFonts w:ascii="Arial" w:eastAsia="Calibri" w:hAnsi="Arial" w:cs="Arial"/>
          <w:lang w:val="en-US" w:eastAsia="en-US"/>
        </w:rPr>
        <w:t>Yes, at least in Darwin and Alice Springs.  This proposal would clearly be unworkable in bush courts.   This reform could be accomplished by way of Pra</w:t>
      </w:r>
      <w:r w:rsidR="00395099">
        <w:rPr>
          <w:rFonts w:ascii="Arial" w:eastAsia="Calibri" w:hAnsi="Arial" w:cs="Arial"/>
          <w:lang w:val="en-US" w:eastAsia="en-US"/>
        </w:rPr>
        <w:t xml:space="preserve">ctice Direction by the Chief Magistrate.  The power conferred on the Director of Public Prosecutions by section 21 of the </w:t>
      </w:r>
      <w:r w:rsidR="00395099">
        <w:rPr>
          <w:rFonts w:ascii="Arial" w:eastAsia="Calibri" w:hAnsi="Arial" w:cs="Arial"/>
          <w:i/>
          <w:lang w:val="en-US" w:eastAsia="en-US"/>
        </w:rPr>
        <w:t>Director of Public Prosecutions Act</w:t>
      </w:r>
      <w:r w:rsidR="00395099">
        <w:rPr>
          <w:rFonts w:ascii="Arial" w:eastAsia="Calibri" w:hAnsi="Arial" w:cs="Arial"/>
          <w:lang w:val="en-US" w:eastAsia="en-US"/>
        </w:rPr>
        <w:t xml:space="preserve"> is broadly expressed, and it is not apparent to CLANT why an amendment to this legislation would be requi</w:t>
      </w:r>
      <w:r w:rsidR="00CC1789">
        <w:rPr>
          <w:rFonts w:ascii="Arial" w:eastAsia="Calibri" w:hAnsi="Arial" w:cs="Arial"/>
          <w:lang w:val="en-US" w:eastAsia="en-US"/>
        </w:rPr>
        <w:t>red.  However, this measure would</w:t>
      </w:r>
      <w:r w:rsidR="00395099">
        <w:rPr>
          <w:rFonts w:ascii="Arial" w:eastAsia="Calibri" w:hAnsi="Arial" w:cs="Arial"/>
          <w:lang w:val="en-US" w:eastAsia="en-US"/>
        </w:rPr>
        <w:t xml:space="preserve"> not be effective unless additional resources are provided to the ODPP to enable the establishment and maintenance of specialist domestic violence prosecution positions.</w:t>
      </w:r>
    </w:p>
    <w:p w:rsidR="00D20CDC" w:rsidRPr="00667D09" w:rsidRDefault="00D20CDC" w:rsidP="00D20CDC">
      <w:pPr>
        <w:spacing w:after="200" w:line="276" w:lineRule="auto"/>
        <w:ind w:left="1440"/>
        <w:contextualSpacing/>
        <w:jc w:val="both"/>
        <w:rPr>
          <w:rFonts w:ascii="Arial" w:eastAsia="Calibri" w:hAnsi="Arial" w:cs="Arial"/>
          <w:lang w:val="en-US" w:eastAsia="en-US"/>
        </w:rPr>
      </w:pPr>
    </w:p>
    <w:p w:rsidR="00D20CDC" w:rsidRPr="00667D09" w:rsidRDefault="00D20CDC" w:rsidP="00D20CDC">
      <w:pPr>
        <w:numPr>
          <w:ilvl w:val="0"/>
          <w:numId w:val="3"/>
        </w:numPr>
        <w:spacing w:after="200" w:line="276" w:lineRule="auto"/>
        <w:contextualSpacing/>
        <w:jc w:val="both"/>
        <w:rPr>
          <w:rFonts w:ascii="Arial" w:eastAsia="Calibri" w:hAnsi="Arial" w:cs="Arial"/>
          <w:b/>
          <w:lang w:val="en-US" w:eastAsia="en-US"/>
        </w:rPr>
      </w:pPr>
      <w:r w:rsidRPr="00667D09">
        <w:rPr>
          <w:rFonts w:ascii="Arial" w:eastAsia="Calibri" w:hAnsi="Arial" w:cs="Arial"/>
          <w:b/>
          <w:lang w:val="en-US" w:eastAsia="en-US"/>
        </w:rPr>
        <w:t>Do you think it would be preferable for a group of specialist prosecutors to conduct criminal prosecutions involving domestic violence and to appear for Police in applications for domestic violence orders?</w:t>
      </w:r>
    </w:p>
    <w:p w:rsidR="00D20CDC" w:rsidRDefault="00D20CDC" w:rsidP="00D20CDC">
      <w:pPr>
        <w:spacing w:after="200" w:line="276" w:lineRule="auto"/>
        <w:contextualSpacing/>
        <w:jc w:val="both"/>
        <w:rPr>
          <w:rFonts w:ascii="Arial" w:eastAsia="Calibri" w:hAnsi="Arial" w:cs="Arial"/>
          <w:lang w:val="en-US" w:eastAsia="en-US"/>
        </w:rPr>
      </w:pPr>
    </w:p>
    <w:p w:rsidR="00D20CDC" w:rsidRPr="00667D09" w:rsidRDefault="00395099" w:rsidP="00D20CDC">
      <w:pPr>
        <w:spacing w:after="200" w:line="276" w:lineRule="auto"/>
        <w:contextualSpacing/>
        <w:jc w:val="both"/>
        <w:rPr>
          <w:rFonts w:ascii="Arial" w:eastAsia="Calibri" w:hAnsi="Arial" w:cs="Arial"/>
          <w:lang w:val="en-US" w:eastAsia="en-US"/>
        </w:rPr>
      </w:pPr>
      <w:r>
        <w:rPr>
          <w:rFonts w:ascii="Arial" w:eastAsia="Calibri" w:hAnsi="Arial" w:cs="Arial"/>
          <w:lang w:val="en-US" w:eastAsia="en-US"/>
        </w:rPr>
        <w:t>CLANT supports this proposal (see above).</w:t>
      </w:r>
    </w:p>
    <w:p w:rsidR="00D20CDC" w:rsidRPr="00667D09" w:rsidRDefault="00D20CDC" w:rsidP="00D20CDC">
      <w:pPr>
        <w:ind w:left="1440"/>
        <w:jc w:val="both"/>
        <w:rPr>
          <w:rFonts w:ascii="Arial" w:eastAsia="Calibri" w:hAnsi="Arial" w:cs="Arial"/>
          <w:b/>
          <w:lang w:val="en-US" w:eastAsia="en-US"/>
        </w:rPr>
      </w:pPr>
    </w:p>
    <w:p w:rsidR="00D20CDC" w:rsidRPr="00667D09" w:rsidRDefault="00D20CDC" w:rsidP="00D20CDC">
      <w:pPr>
        <w:numPr>
          <w:ilvl w:val="0"/>
          <w:numId w:val="3"/>
        </w:numPr>
        <w:spacing w:after="200" w:line="276" w:lineRule="auto"/>
        <w:contextualSpacing/>
        <w:jc w:val="both"/>
        <w:rPr>
          <w:rFonts w:ascii="Arial" w:eastAsia="Calibri" w:hAnsi="Arial" w:cs="Arial"/>
          <w:b/>
          <w:lang w:val="en-US" w:eastAsia="en-US"/>
        </w:rPr>
      </w:pPr>
      <w:r w:rsidRPr="00667D09">
        <w:rPr>
          <w:rFonts w:ascii="Arial" w:eastAsia="Calibri" w:hAnsi="Arial" w:cs="Arial"/>
          <w:b/>
          <w:lang w:val="en-US" w:eastAsia="en-US"/>
        </w:rPr>
        <w:t>Do you think that expending behavioral change programs that target domestic and family violence would be beneficial in helping reduce domestic and family violence?</w:t>
      </w:r>
    </w:p>
    <w:p w:rsidR="00D20CDC" w:rsidRPr="00667D09" w:rsidRDefault="00D20CDC" w:rsidP="00D20CDC">
      <w:pPr>
        <w:spacing w:after="200" w:line="276" w:lineRule="auto"/>
        <w:ind w:left="720"/>
        <w:contextualSpacing/>
        <w:jc w:val="both"/>
        <w:rPr>
          <w:rFonts w:ascii="Arial" w:eastAsia="Calibri" w:hAnsi="Arial" w:cs="Arial"/>
          <w:b/>
          <w:lang w:val="en-US" w:eastAsia="en-US"/>
        </w:rPr>
      </w:pPr>
    </w:p>
    <w:p w:rsidR="00D20CDC" w:rsidRPr="00667D09" w:rsidRDefault="00395099" w:rsidP="00D20CDC">
      <w:pPr>
        <w:spacing w:after="200" w:line="276" w:lineRule="auto"/>
        <w:contextualSpacing/>
        <w:jc w:val="both"/>
        <w:rPr>
          <w:rFonts w:ascii="Arial" w:eastAsia="Calibri" w:hAnsi="Arial" w:cs="Arial"/>
          <w:lang w:val="en-US" w:eastAsia="en-US"/>
        </w:rPr>
      </w:pPr>
      <w:r>
        <w:rPr>
          <w:rFonts w:ascii="Arial" w:eastAsia="Calibri" w:hAnsi="Arial" w:cs="Arial"/>
          <w:lang w:val="en-US" w:eastAsia="en-US"/>
        </w:rPr>
        <w:t>Perpetrator programs are an essential component of the DFVRS</w:t>
      </w:r>
      <w:r w:rsidR="004D0A61">
        <w:rPr>
          <w:rFonts w:ascii="Arial" w:eastAsia="Calibri" w:hAnsi="Arial" w:cs="Arial"/>
          <w:lang w:val="en-US" w:eastAsia="en-US"/>
        </w:rPr>
        <w:t>, and should be supported and expanded, to reach offenders both in the community and in prison.  That said, it should also be recognized that the evidence that such programs are effective in reducing domestic violence is patchy, and it would be unrealistic and unfair to burden such programs with a requirement that to continue to attract funding they demonstrate that domestic violence in their community has been significantly reduced.  At best, perpetrator programs can only be expected to change the behaviour of a small number of offenders, and  even amongst program participants, it is inevitable that many will re-offend.</w:t>
      </w:r>
    </w:p>
    <w:p w:rsidR="00D20CDC" w:rsidRPr="00667D09" w:rsidRDefault="00D20CDC" w:rsidP="00D20CDC">
      <w:pPr>
        <w:spacing w:after="200" w:line="276" w:lineRule="auto"/>
        <w:contextualSpacing/>
        <w:jc w:val="both"/>
        <w:rPr>
          <w:rFonts w:ascii="Arial" w:eastAsia="Calibri" w:hAnsi="Arial" w:cs="Arial"/>
          <w:lang w:val="en-US" w:eastAsia="en-US"/>
        </w:rPr>
      </w:pPr>
    </w:p>
    <w:p w:rsidR="00D20CDC" w:rsidRPr="00E55A44" w:rsidRDefault="00D20CDC" w:rsidP="00D20CDC">
      <w:pPr>
        <w:numPr>
          <w:ilvl w:val="0"/>
          <w:numId w:val="3"/>
        </w:numPr>
        <w:spacing w:after="200" w:line="276" w:lineRule="auto"/>
        <w:contextualSpacing/>
        <w:jc w:val="both"/>
        <w:rPr>
          <w:rFonts w:ascii="Arial" w:eastAsia="Calibri" w:hAnsi="Arial" w:cs="Arial"/>
          <w:b/>
          <w:lang w:val="en-US" w:eastAsia="en-US"/>
        </w:rPr>
      </w:pPr>
      <w:r w:rsidRPr="00667D09">
        <w:rPr>
          <w:rFonts w:ascii="Arial" w:eastAsia="Calibri" w:hAnsi="Arial" w:cs="Arial"/>
          <w:b/>
          <w:lang w:val="en-US" w:eastAsia="en-US"/>
        </w:rPr>
        <w:t>Do you think the expansion of these programs to prisoners on remand would be likely to achieve the aim of reducing domestic and family violence?</w:t>
      </w:r>
    </w:p>
    <w:p w:rsidR="00D20CDC" w:rsidRPr="00667D09" w:rsidRDefault="00D20CDC" w:rsidP="00D20CDC">
      <w:pPr>
        <w:spacing w:after="200" w:line="276" w:lineRule="auto"/>
        <w:ind w:left="360"/>
        <w:contextualSpacing/>
        <w:jc w:val="both"/>
        <w:rPr>
          <w:rFonts w:ascii="Arial" w:eastAsia="Calibri" w:hAnsi="Arial" w:cs="Arial"/>
          <w:b/>
          <w:lang w:val="en-US" w:eastAsia="en-US"/>
        </w:rPr>
      </w:pPr>
    </w:p>
    <w:p w:rsidR="00D20CDC" w:rsidRDefault="00DE0218" w:rsidP="00D20CDC">
      <w:pPr>
        <w:spacing w:after="200" w:line="276" w:lineRule="auto"/>
        <w:contextualSpacing/>
        <w:jc w:val="both"/>
        <w:rPr>
          <w:rFonts w:ascii="Arial" w:eastAsia="Calibri" w:hAnsi="Arial" w:cs="Arial"/>
          <w:b/>
          <w:lang w:val="en-US" w:eastAsia="en-US"/>
        </w:rPr>
      </w:pPr>
      <w:r>
        <w:rPr>
          <w:rFonts w:ascii="Arial" w:eastAsia="Calibri" w:hAnsi="Arial" w:cs="Arial"/>
          <w:lang w:val="en-US" w:eastAsia="en-US"/>
        </w:rPr>
        <w:t xml:space="preserve">Prisoners on remand should be given access to perpetrator programs, but they are far less likely to change their behaviour than defendants on bail who engage in such programs in the community.  There are at least two reasons for this.  Firstly, prison is a relatively poor learning environment.  Secondly, best practice perpetrator programs involve engagement with the participant over a lengthy period of many months, and also include collateral </w:t>
      </w:r>
      <w:r>
        <w:rPr>
          <w:rFonts w:ascii="Arial" w:eastAsia="Calibri" w:hAnsi="Arial" w:cs="Arial"/>
          <w:lang w:val="en-US" w:eastAsia="en-US"/>
        </w:rPr>
        <w:lastRenderedPageBreak/>
        <w:t xml:space="preserve">engagement with victims.  During the program, the participant has the opportunity to put into effect the lessons he is learning.  That </w:t>
      </w:r>
      <w:proofErr w:type="spellStart"/>
      <w:r>
        <w:rPr>
          <w:rFonts w:ascii="Arial" w:eastAsia="Calibri" w:hAnsi="Arial" w:cs="Arial"/>
          <w:lang w:val="en-US" w:eastAsia="en-US"/>
        </w:rPr>
        <w:t>can not</w:t>
      </w:r>
      <w:proofErr w:type="spellEnd"/>
      <w:r>
        <w:rPr>
          <w:rFonts w:ascii="Arial" w:eastAsia="Calibri" w:hAnsi="Arial" w:cs="Arial"/>
          <w:lang w:val="en-US" w:eastAsia="en-US"/>
        </w:rPr>
        <w:t xml:space="preserve"> easily occur in prison.</w:t>
      </w:r>
    </w:p>
    <w:p w:rsidR="00D20CDC" w:rsidRDefault="00D20CDC" w:rsidP="00D20CDC">
      <w:pPr>
        <w:spacing w:after="200" w:line="276" w:lineRule="auto"/>
        <w:contextualSpacing/>
        <w:jc w:val="both"/>
        <w:rPr>
          <w:rFonts w:ascii="Arial" w:eastAsia="Calibri" w:hAnsi="Arial" w:cs="Arial"/>
          <w:b/>
          <w:lang w:val="en-US" w:eastAsia="en-US"/>
        </w:rPr>
      </w:pPr>
    </w:p>
    <w:p w:rsidR="00DE0218" w:rsidRPr="00101C1E" w:rsidRDefault="00DE0218" w:rsidP="00D20CDC">
      <w:pPr>
        <w:spacing w:after="200" w:line="276" w:lineRule="auto"/>
        <w:contextualSpacing/>
        <w:jc w:val="both"/>
        <w:rPr>
          <w:rFonts w:ascii="Arial" w:eastAsia="Calibri" w:hAnsi="Arial" w:cs="Arial"/>
          <w:b/>
          <w:lang w:val="en-US" w:eastAsia="en-US"/>
        </w:rPr>
      </w:pPr>
    </w:p>
    <w:p w:rsidR="00D20CDC" w:rsidRPr="00DE0218" w:rsidRDefault="00D20CDC" w:rsidP="00D20CDC">
      <w:pPr>
        <w:pStyle w:val="ListParagraph"/>
        <w:numPr>
          <w:ilvl w:val="0"/>
          <w:numId w:val="3"/>
        </w:numPr>
        <w:rPr>
          <w:rFonts w:ascii="Arial" w:hAnsi="Arial" w:cs="Arial"/>
          <w:b/>
          <w:sz w:val="24"/>
          <w:szCs w:val="24"/>
          <w:lang w:val="en-US"/>
        </w:rPr>
      </w:pPr>
      <w:r w:rsidRPr="00DE0218">
        <w:rPr>
          <w:rFonts w:ascii="Arial" w:hAnsi="Arial" w:cs="Arial"/>
          <w:b/>
          <w:sz w:val="24"/>
          <w:szCs w:val="24"/>
          <w:lang w:val="en-US"/>
        </w:rPr>
        <w:t xml:space="preserve">Are there any particular programs that you consider are particularly effective in changing violent behavior? </w:t>
      </w:r>
    </w:p>
    <w:p w:rsidR="00D20CDC" w:rsidRDefault="00D20CDC" w:rsidP="00D20CDC">
      <w:pPr>
        <w:spacing w:after="200" w:line="276" w:lineRule="auto"/>
        <w:ind w:left="360"/>
        <w:contextualSpacing/>
        <w:jc w:val="both"/>
        <w:rPr>
          <w:rFonts w:ascii="Arial" w:eastAsia="Calibri" w:hAnsi="Arial" w:cs="Arial"/>
          <w:lang w:val="en-US" w:eastAsia="en-US"/>
        </w:rPr>
      </w:pPr>
    </w:p>
    <w:p w:rsidR="00A62E45" w:rsidRPr="00E55A44" w:rsidRDefault="00D20CDC" w:rsidP="00D20CDC">
      <w:pPr>
        <w:spacing w:after="200" w:line="276" w:lineRule="auto"/>
        <w:jc w:val="both"/>
        <w:rPr>
          <w:rFonts w:ascii="Arial" w:eastAsia="Calibri" w:hAnsi="Arial" w:cs="Arial"/>
          <w:lang w:val="en-US" w:eastAsia="en-US"/>
        </w:rPr>
      </w:pPr>
      <w:r>
        <w:rPr>
          <w:rFonts w:ascii="Arial" w:eastAsia="Calibri" w:hAnsi="Arial" w:cs="Arial"/>
          <w:lang w:val="en-US" w:eastAsia="en-US"/>
        </w:rPr>
        <w:t>To effect b</w:t>
      </w:r>
      <w:r w:rsidRPr="00223C4F">
        <w:rPr>
          <w:rFonts w:ascii="Arial" w:eastAsia="Calibri" w:hAnsi="Arial" w:cs="Arial"/>
          <w:lang w:val="en-US" w:eastAsia="en-US"/>
        </w:rPr>
        <w:t xml:space="preserve">ehaviour change is a </w:t>
      </w:r>
      <w:r>
        <w:rPr>
          <w:rFonts w:ascii="Arial" w:eastAsia="Calibri" w:hAnsi="Arial" w:cs="Arial"/>
          <w:lang w:val="en-US" w:eastAsia="en-US"/>
        </w:rPr>
        <w:t xml:space="preserve">complex </w:t>
      </w:r>
      <w:r w:rsidRPr="00223C4F">
        <w:rPr>
          <w:rFonts w:ascii="Arial" w:eastAsia="Calibri" w:hAnsi="Arial" w:cs="Arial"/>
          <w:lang w:val="en-US" w:eastAsia="en-US"/>
        </w:rPr>
        <w:t xml:space="preserve">generational </w:t>
      </w:r>
      <w:r>
        <w:rPr>
          <w:rFonts w:ascii="Arial" w:eastAsia="Calibri" w:hAnsi="Arial" w:cs="Arial"/>
          <w:lang w:val="en-US" w:eastAsia="en-US"/>
        </w:rPr>
        <w:t xml:space="preserve">challenge which will require broad strategies including social marketing, early childhood education, reduction in substance abuse and substantial improvement in education, employment, housing and health for disadvantaged </w:t>
      </w:r>
      <w:proofErr w:type="spellStart"/>
      <w:r>
        <w:rPr>
          <w:rFonts w:ascii="Arial" w:eastAsia="Calibri" w:hAnsi="Arial" w:cs="Arial"/>
          <w:lang w:val="en-US" w:eastAsia="en-US"/>
        </w:rPr>
        <w:t>Territorians</w:t>
      </w:r>
      <w:proofErr w:type="spellEnd"/>
      <w:r w:rsidR="00A62E45">
        <w:rPr>
          <w:rFonts w:ascii="Arial" w:eastAsia="Calibri" w:hAnsi="Arial" w:cs="Arial"/>
          <w:lang w:val="en-US" w:eastAsia="en-US"/>
        </w:rPr>
        <w:t>, particularly in remote areas.</w:t>
      </w:r>
    </w:p>
    <w:p w:rsidR="00D20CDC" w:rsidRPr="00667D09" w:rsidRDefault="00D20CDC" w:rsidP="00D20CDC">
      <w:pPr>
        <w:numPr>
          <w:ilvl w:val="0"/>
          <w:numId w:val="3"/>
        </w:numPr>
        <w:spacing w:after="200" w:line="276" w:lineRule="auto"/>
        <w:contextualSpacing/>
        <w:jc w:val="both"/>
        <w:rPr>
          <w:rFonts w:ascii="Arial" w:eastAsia="Calibri" w:hAnsi="Arial" w:cs="Arial"/>
          <w:b/>
          <w:lang w:val="en-US" w:eastAsia="en-US"/>
        </w:rPr>
      </w:pPr>
      <w:r w:rsidRPr="00667D09">
        <w:rPr>
          <w:rFonts w:ascii="Arial" w:eastAsia="Calibri" w:hAnsi="Arial" w:cs="Arial"/>
          <w:b/>
          <w:lang w:val="en-US" w:eastAsia="en-US"/>
        </w:rPr>
        <w:t>Do you have any comments on the mutual recognition of domestic violence orders?</w:t>
      </w:r>
    </w:p>
    <w:p w:rsidR="00D20CDC" w:rsidRPr="00667D09" w:rsidRDefault="00D20CDC" w:rsidP="00D20CDC">
      <w:pPr>
        <w:spacing w:after="200" w:line="276" w:lineRule="auto"/>
        <w:ind w:left="720"/>
        <w:contextualSpacing/>
        <w:jc w:val="both"/>
        <w:rPr>
          <w:rFonts w:ascii="Arial" w:eastAsia="Calibri" w:hAnsi="Arial" w:cs="Arial"/>
          <w:b/>
          <w:lang w:val="en-US" w:eastAsia="en-US"/>
        </w:rPr>
      </w:pPr>
    </w:p>
    <w:p w:rsidR="00D20CDC" w:rsidRDefault="00A62E45" w:rsidP="00D20CDC">
      <w:pPr>
        <w:spacing w:after="200" w:line="276" w:lineRule="auto"/>
        <w:contextualSpacing/>
        <w:jc w:val="both"/>
        <w:rPr>
          <w:rFonts w:ascii="Arial" w:eastAsia="Calibri" w:hAnsi="Arial" w:cs="Arial"/>
          <w:lang w:val="en-US" w:eastAsia="en-US"/>
        </w:rPr>
      </w:pPr>
      <w:r>
        <w:rPr>
          <w:rFonts w:ascii="Arial" w:eastAsia="Calibri" w:hAnsi="Arial" w:cs="Arial"/>
          <w:lang w:val="en-US" w:eastAsia="en-US"/>
        </w:rPr>
        <w:t>CLANT</w:t>
      </w:r>
      <w:r w:rsidR="00D20CDC" w:rsidRPr="00667D09">
        <w:rPr>
          <w:rFonts w:ascii="Arial" w:eastAsia="Calibri" w:hAnsi="Arial" w:cs="Arial"/>
          <w:lang w:val="en-US" w:eastAsia="en-US"/>
        </w:rPr>
        <w:t xml:space="preserve"> support</w:t>
      </w:r>
      <w:r>
        <w:rPr>
          <w:rFonts w:ascii="Arial" w:eastAsia="Calibri" w:hAnsi="Arial" w:cs="Arial"/>
          <w:lang w:val="en-US" w:eastAsia="en-US"/>
        </w:rPr>
        <w:t>s</w:t>
      </w:r>
      <w:r w:rsidR="00D20CDC" w:rsidRPr="00667D09">
        <w:rPr>
          <w:rFonts w:ascii="Arial" w:eastAsia="Calibri" w:hAnsi="Arial" w:cs="Arial"/>
          <w:lang w:val="en-US" w:eastAsia="en-US"/>
        </w:rPr>
        <w:t xml:space="preserve"> mutual recognition of domest</w:t>
      </w:r>
      <w:r>
        <w:rPr>
          <w:rFonts w:ascii="Arial" w:eastAsia="Calibri" w:hAnsi="Arial" w:cs="Arial"/>
          <w:lang w:val="en-US" w:eastAsia="en-US"/>
        </w:rPr>
        <w:t>ic violence orders. T</w:t>
      </w:r>
      <w:r w:rsidR="00D20CDC">
        <w:rPr>
          <w:rFonts w:ascii="Arial" w:eastAsia="Calibri" w:hAnsi="Arial" w:cs="Arial"/>
          <w:lang w:val="en-US" w:eastAsia="en-US"/>
        </w:rPr>
        <w:t>he lack of progress in this area despite the long-standing commitment of COAG</w:t>
      </w:r>
      <w:r>
        <w:rPr>
          <w:rFonts w:ascii="Arial" w:eastAsia="Calibri" w:hAnsi="Arial" w:cs="Arial"/>
          <w:lang w:val="en-US" w:eastAsia="en-US"/>
        </w:rPr>
        <w:t xml:space="preserve"> to implement a national scheme is a matter of serious concern.</w:t>
      </w:r>
    </w:p>
    <w:p w:rsidR="00D20CDC" w:rsidRDefault="00D20CDC" w:rsidP="00D20CDC">
      <w:pPr>
        <w:spacing w:after="200" w:line="276" w:lineRule="auto"/>
        <w:contextualSpacing/>
        <w:jc w:val="both"/>
        <w:rPr>
          <w:rFonts w:ascii="Arial" w:eastAsia="Calibri" w:hAnsi="Arial" w:cs="Arial"/>
          <w:b/>
          <w:lang w:val="en-US" w:eastAsia="en-US"/>
        </w:rPr>
      </w:pPr>
    </w:p>
    <w:p w:rsidR="00D20CDC" w:rsidRPr="00667D09" w:rsidRDefault="00D20CDC" w:rsidP="00D20CDC">
      <w:pPr>
        <w:numPr>
          <w:ilvl w:val="0"/>
          <w:numId w:val="3"/>
        </w:numPr>
        <w:spacing w:after="200" w:line="276" w:lineRule="auto"/>
        <w:contextualSpacing/>
        <w:jc w:val="both"/>
        <w:rPr>
          <w:rFonts w:ascii="Arial" w:eastAsia="Calibri" w:hAnsi="Arial" w:cs="Arial"/>
          <w:b/>
          <w:lang w:val="en-US" w:eastAsia="en-US"/>
        </w:rPr>
      </w:pPr>
      <w:r w:rsidRPr="00667D09">
        <w:rPr>
          <w:rFonts w:ascii="Arial" w:eastAsia="Calibri" w:hAnsi="Arial" w:cs="Arial"/>
          <w:b/>
          <w:lang w:val="en-US" w:eastAsia="en-US"/>
        </w:rPr>
        <w:t xml:space="preserve">Do you have any comments of the </w:t>
      </w:r>
      <w:r w:rsidR="00CC1789">
        <w:rPr>
          <w:rFonts w:ascii="Arial" w:eastAsia="Calibri" w:hAnsi="Arial" w:cs="Arial"/>
          <w:b/>
          <w:lang w:val="en-US" w:eastAsia="en-US"/>
        </w:rPr>
        <w:t>proposed</w:t>
      </w:r>
      <w:r w:rsidRPr="00667D09">
        <w:rPr>
          <w:rFonts w:ascii="Arial" w:eastAsia="Calibri" w:hAnsi="Arial" w:cs="Arial"/>
          <w:b/>
          <w:lang w:val="en-US" w:eastAsia="en-US"/>
        </w:rPr>
        <w:t xml:space="preserve"> amendments to the Criminal Code?</w:t>
      </w:r>
    </w:p>
    <w:p w:rsidR="00D20CDC" w:rsidRDefault="00D20CDC" w:rsidP="00D20CDC">
      <w:pPr>
        <w:spacing w:after="200" w:line="276" w:lineRule="auto"/>
        <w:ind w:left="720"/>
        <w:contextualSpacing/>
        <w:jc w:val="both"/>
        <w:rPr>
          <w:rFonts w:ascii="Arial" w:eastAsia="Calibri" w:hAnsi="Arial" w:cs="Arial"/>
          <w:b/>
          <w:lang w:val="en-US" w:eastAsia="en-US"/>
        </w:rPr>
      </w:pPr>
    </w:p>
    <w:p w:rsidR="00D20CDC" w:rsidRDefault="00A62E45" w:rsidP="00D20CDC">
      <w:pPr>
        <w:spacing w:after="200" w:line="276" w:lineRule="auto"/>
        <w:contextualSpacing/>
        <w:jc w:val="both"/>
        <w:rPr>
          <w:rFonts w:ascii="Arial" w:hAnsi="Arial" w:cs="Arial"/>
        </w:rPr>
      </w:pPr>
      <w:r>
        <w:rPr>
          <w:rFonts w:ascii="Arial" w:hAnsi="Arial" w:cs="Arial"/>
        </w:rPr>
        <w:t>CLANT opposes the</w:t>
      </w:r>
      <w:r w:rsidR="00D20CDC">
        <w:rPr>
          <w:rFonts w:ascii="Arial" w:hAnsi="Arial" w:cs="Arial"/>
        </w:rPr>
        <w:t xml:space="preserve"> proposed amendments</w:t>
      </w:r>
      <w:r>
        <w:rPr>
          <w:rFonts w:ascii="Arial" w:hAnsi="Arial" w:cs="Arial"/>
        </w:rPr>
        <w:t>, which</w:t>
      </w:r>
      <w:r w:rsidR="00D20CDC">
        <w:rPr>
          <w:rFonts w:ascii="Arial" w:hAnsi="Arial" w:cs="Arial"/>
        </w:rPr>
        <w:t xml:space="preserve"> are unnecessary and unlikely to confer any benefit.  Almost every charge of assault is already accompanied by a circumstance of aggravation, elevating the matter from a simple offence with a maximum penalty of two years to a crime with a maximum penalty of five years.   Adding to the list of aggravating circumstances would achieve nothing.  Courts already have regard to a comprehensive list of circumstances as set out in section 5 of the </w:t>
      </w:r>
      <w:r w:rsidR="00D20CDC">
        <w:rPr>
          <w:rFonts w:ascii="Arial" w:hAnsi="Arial" w:cs="Arial"/>
          <w:i/>
        </w:rPr>
        <w:t>Sentencing Act</w:t>
      </w:r>
      <w:r w:rsidR="00D20CDC">
        <w:rPr>
          <w:rFonts w:ascii="Arial" w:hAnsi="Arial" w:cs="Arial"/>
        </w:rPr>
        <w:t>, including:</w:t>
      </w:r>
    </w:p>
    <w:p w:rsidR="00D20CDC" w:rsidRDefault="00D20CDC" w:rsidP="00D20CDC">
      <w:pPr>
        <w:spacing w:after="200" w:line="276" w:lineRule="auto"/>
        <w:contextualSpacing/>
        <w:jc w:val="both"/>
        <w:rPr>
          <w:rFonts w:ascii="Arial" w:hAnsi="Arial" w:cs="Arial"/>
        </w:rPr>
      </w:pPr>
    </w:p>
    <w:p w:rsidR="00D20CDC" w:rsidRPr="00E55A44" w:rsidRDefault="00D20CDC" w:rsidP="00D20CDC">
      <w:pPr>
        <w:spacing w:after="200" w:line="276" w:lineRule="auto"/>
        <w:ind w:left="720"/>
        <w:contextualSpacing/>
        <w:jc w:val="both"/>
        <w:rPr>
          <w:rFonts w:ascii="Arial" w:hAnsi="Arial" w:cs="Arial"/>
        </w:rPr>
      </w:pPr>
      <w:r w:rsidRPr="00E55A44">
        <w:rPr>
          <w:rFonts w:ascii="Arial" w:hAnsi="Arial" w:cs="Arial"/>
        </w:rPr>
        <w:t>the nature of the offence and how serious the offence was, including any physical, psychological or emotional harm done to a victim; (s5(2)(b))</w:t>
      </w:r>
    </w:p>
    <w:p w:rsidR="00D20CDC" w:rsidRPr="00E55A44" w:rsidRDefault="00D20CDC" w:rsidP="00D20CDC">
      <w:pPr>
        <w:spacing w:after="200" w:line="276" w:lineRule="auto"/>
        <w:contextualSpacing/>
        <w:jc w:val="both"/>
        <w:rPr>
          <w:rFonts w:ascii="Arial" w:hAnsi="Arial" w:cs="Arial"/>
        </w:rPr>
      </w:pPr>
    </w:p>
    <w:p w:rsidR="00A62E45" w:rsidRPr="00A62E45" w:rsidRDefault="00D20CDC" w:rsidP="00A62E45">
      <w:pPr>
        <w:spacing w:after="200" w:line="276" w:lineRule="auto"/>
        <w:contextualSpacing/>
        <w:jc w:val="both"/>
        <w:rPr>
          <w:rFonts w:ascii="Arial" w:hAnsi="Arial" w:cs="Arial"/>
        </w:rPr>
      </w:pPr>
      <w:r w:rsidRPr="00E55A44">
        <w:rPr>
          <w:rFonts w:ascii="Arial" w:hAnsi="Arial" w:cs="Arial"/>
        </w:rPr>
        <w:t xml:space="preserve">Although </w:t>
      </w:r>
      <w:r>
        <w:rPr>
          <w:rFonts w:ascii="Arial" w:hAnsi="Arial" w:cs="Arial"/>
        </w:rPr>
        <w:t>in many cases a violent offence may be more serious because it is committed in the context of a domestic or family relationship, that is not always the case.  In some matters, for example, where the perpetrator has herself previously been the victim of domestic violence by her partner, the fact the victim was her abusive husband may well be a mitigating circumstance.</w:t>
      </w:r>
    </w:p>
    <w:sectPr w:rsidR="00A62E45" w:rsidRPr="00A62E45">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517" w:rsidRDefault="00967517" w:rsidP="00D20CDC">
      <w:r>
        <w:separator/>
      </w:r>
    </w:p>
  </w:endnote>
  <w:endnote w:type="continuationSeparator" w:id="0">
    <w:p w:rsidR="00967517" w:rsidRDefault="00967517" w:rsidP="00D2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ill 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17" w:rsidRDefault="00967517" w:rsidP="007E1C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7517" w:rsidRDefault="00967517" w:rsidP="007E1C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379974"/>
      <w:docPartObj>
        <w:docPartGallery w:val="Page Numbers (Bottom of Page)"/>
        <w:docPartUnique/>
      </w:docPartObj>
    </w:sdtPr>
    <w:sdtEndPr>
      <w:rPr>
        <w:noProof/>
      </w:rPr>
    </w:sdtEndPr>
    <w:sdtContent>
      <w:p w:rsidR="00967517" w:rsidRDefault="00967517">
        <w:pPr>
          <w:pStyle w:val="Footer"/>
          <w:jc w:val="center"/>
        </w:pPr>
        <w:r>
          <w:fldChar w:fldCharType="begin"/>
        </w:r>
        <w:r>
          <w:instrText xml:space="preserve"> PAGE   \* MERGEFORMAT </w:instrText>
        </w:r>
        <w:r>
          <w:fldChar w:fldCharType="separate"/>
        </w:r>
        <w:r w:rsidR="00613BB5">
          <w:rPr>
            <w:noProof/>
          </w:rPr>
          <w:t>6</w:t>
        </w:r>
        <w:r>
          <w:rPr>
            <w:noProof/>
          </w:rPr>
          <w:fldChar w:fldCharType="end"/>
        </w:r>
      </w:p>
    </w:sdtContent>
  </w:sdt>
  <w:p w:rsidR="00967517" w:rsidRDefault="00967517" w:rsidP="007E1C1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17" w:rsidRDefault="00967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517" w:rsidRDefault="00967517" w:rsidP="00D20CDC">
      <w:r>
        <w:separator/>
      </w:r>
    </w:p>
  </w:footnote>
  <w:footnote w:type="continuationSeparator" w:id="0">
    <w:p w:rsidR="00967517" w:rsidRDefault="00967517" w:rsidP="00D20CDC">
      <w:r>
        <w:continuationSeparator/>
      </w:r>
    </w:p>
  </w:footnote>
  <w:footnote w:id="1">
    <w:p w:rsidR="00967517" w:rsidRPr="00A23CB6" w:rsidRDefault="00967517">
      <w:pPr>
        <w:pStyle w:val="FootnoteText"/>
      </w:pPr>
      <w:r>
        <w:rPr>
          <w:rStyle w:val="FootnoteReference"/>
        </w:rPr>
        <w:footnoteRef/>
      </w:r>
      <w:r>
        <w:t xml:space="preserve"> CLANT, </w:t>
      </w:r>
      <w:hyperlink r:id="rId1" w:history="1">
        <w:r w:rsidRPr="00967517">
          <w:rPr>
            <w:rStyle w:val="Hyperlink"/>
            <w:i/>
          </w:rPr>
          <w:t>Ten Reasons Why Daniel’s Law is Bad for Victims</w:t>
        </w:r>
      </w:hyperlink>
      <w:r>
        <w:t xml:space="preserve"> (2015)</w:t>
      </w:r>
    </w:p>
  </w:footnote>
  <w:footnote w:id="2">
    <w:p w:rsidR="00967517" w:rsidRDefault="00967517">
      <w:pPr>
        <w:pStyle w:val="FootnoteText"/>
      </w:pPr>
      <w:r>
        <w:rPr>
          <w:rStyle w:val="FootnoteReference"/>
        </w:rPr>
        <w:footnoteRef/>
      </w:r>
      <w:r>
        <w:t xml:space="preserve"> </w:t>
      </w:r>
      <w:r w:rsidR="00613BB5">
        <w:t xml:space="preserve">See </w:t>
      </w:r>
      <w:r>
        <w:t xml:space="preserve">CLANT’s </w:t>
      </w:r>
      <w:hyperlink r:id="rId2" w:history="1">
        <w:r w:rsidRPr="00613BB5">
          <w:rPr>
            <w:rStyle w:val="Hyperlink"/>
          </w:rPr>
          <w:t>submission</w:t>
        </w:r>
      </w:hyperlink>
      <w:r w:rsidR="00613BB5">
        <w:t xml:space="preserve"> </w:t>
      </w:r>
    </w:p>
  </w:footnote>
  <w:footnote w:id="3">
    <w:p w:rsidR="00967517" w:rsidRDefault="00967517" w:rsidP="00D20CDC">
      <w:pPr>
        <w:pStyle w:val="FootnoteText"/>
      </w:pPr>
      <w:r>
        <w:rPr>
          <w:rStyle w:val="FootnoteReference"/>
        </w:rPr>
        <w:footnoteRef/>
      </w:r>
      <w:r>
        <w:t xml:space="preserve">  Institute for Behaviour and Health </w:t>
      </w:r>
      <w:proofErr w:type="spellStart"/>
      <w:r>
        <w:t>Inc</w:t>
      </w:r>
      <w:proofErr w:type="spellEnd"/>
      <w:r>
        <w:t xml:space="preserve">, </w:t>
      </w:r>
      <w:hyperlink r:id="rId3" w:history="1">
        <w:r w:rsidRPr="00613BB5">
          <w:rPr>
            <w:rStyle w:val="Hyperlink"/>
            <w:i/>
          </w:rPr>
          <w:t>State of the Art of HOPE Probation</w:t>
        </w:r>
      </w:hyperlink>
      <w:r>
        <w:t xml:space="preserve"> (2015) </w:t>
      </w:r>
    </w:p>
  </w:footnote>
  <w:footnote w:id="4">
    <w:p w:rsidR="00967517" w:rsidRDefault="00967517">
      <w:pPr>
        <w:pStyle w:val="FootnoteText"/>
      </w:pPr>
      <w:r>
        <w:rPr>
          <w:rStyle w:val="FootnoteReference"/>
        </w:rPr>
        <w:footnoteRef/>
      </w:r>
      <w:r>
        <w:t xml:space="preserve"> R Goldflam, </w:t>
      </w:r>
      <w:hyperlink r:id="rId4" w:history="1">
        <w:r w:rsidRPr="00613BB5">
          <w:rPr>
            <w:rStyle w:val="Hyperlink"/>
          </w:rPr>
          <w:t>letter to Chief Minister Giles</w:t>
        </w:r>
      </w:hyperlink>
      <w:r>
        <w:t xml:space="preserve">, 22 August </w:t>
      </w:r>
      <w:r>
        <w:t>2013</w:t>
      </w:r>
      <w:bookmarkStart w:id="0" w:name="_GoBack"/>
      <w:bookmarkEnd w:id="0"/>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17" w:rsidRDefault="009675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17" w:rsidRDefault="009675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17" w:rsidRDefault="009675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975"/>
    <w:multiLevelType w:val="hybridMultilevel"/>
    <w:tmpl w:val="DFDE03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D167E5C"/>
    <w:multiLevelType w:val="hybridMultilevel"/>
    <w:tmpl w:val="025A6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B731F12"/>
    <w:multiLevelType w:val="hybridMultilevel"/>
    <w:tmpl w:val="4724B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D693364"/>
    <w:multiLevelType w:val="hybridMultilevel"/>
    <w:tmpl w:val="D25A68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DC"/>
    <w:rsid w:val="00395099"/>
    <w:rsid w:val="004D0A61"/>
    <w:rsid w:val="005B2BD0"/>
    <w:rsid w:val="005E35C6"/>
    <w:rsid w:val="00613BB5"/>
    <w:rsid w:val="00676359"/>
    <w:rsid w:val="00694D0D"/>
    <w:rsid w:val="006C6F19"/>
    <w:rsid w:val="007C7537"/>
    <w:rsid w:val="007D1075"/>
    <w:rsid w:val="007E1C10"/>
    <w:rsid w:val="00816CF5"/>
    <w:rsid w:val="0086433D"/>
    <w:rsid w:val="008E5F08"/>
    <w:rsid w:val="00945D97"/>
    <w:rsid w:val="00967517"/>
    <w:rsid w:val="00A23CB6"/>
    <w:rsid w:val="00A62E45"/>
    <w:rsid w:val="00AC576E"/>
    <w:rsid w:val="00B574A2"/>
    <w:rsid w:val="00B80D05"/>
    <w:rsid w:val="00CC1789"/>
    <w:rsid w:val="00D16D07"/>
    <w:rsid w:val="00D20CDC"/>
    <w:rsid w:val="00D225FE"/>
    <w:rsid w:val="00DE0218"/>
    <w:rsid w:val="00E61DDE"/>
    <w:rsid w:val="00ED2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CDC"/>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
    <w:basedOn w:val="Normal"/>
    <w:link w:val="FootnoteTextChar"/>
    <w:semiHidden/>
    <w:rsid w:val="00D20CDC"/>
    <w:rPr>
      <w:rFonts w:ascii="Arial" w:hAnsi="Arial"/>
      <w:color w:val="000000"/>
      <w:sz w:val="20"/>
      <w:szCs w:val="20"/>
      <w:lang w:eastAsia="en-US"/>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semiHidden/>
    <w:rsid w:val="00D20CDC"/>
    <w:rPr>
      <w:rFonts w:ascii="Arial" w:eastAsia="Times New Roman" w:hAnsi="Arial" w:cs="Times New Roman"/>
      <w:color w:val="000000"/>
      <w:sz w:val="20"/>
      <w:szCs w:val="20"/>
    </w:rPr>
  </w:style>
  <w:style w:type="character" w:styleId="FootnoteReference">
    <w:name w:val="footnote reference"/>
    <w:semiHidden/>
    <w:rsid w:val="00D20CDC"/>
    <w:rPr>
      <w:rFonts w:cs="Times New Roman"/>
      <w:vertAlign w:val="superscript"/>
    </w:rPr>
  </w:style>
  <w:style w:type="paragraph" w:styleId="Footer">
    <w:name w:val="footer"/>
    <w:basedOn w:val="Normal"/>
    <w:link w:val="FooterChar"/>
    <w:uiPriority w:val="99"/>
    <w:rsid w:val="00D20CDC"/>
    <w:pPr>
      <w:tabs>
        <w:tab w:val="center" w:pos="4153"/>
        <w:tab w:val="right" w:pos="8306"/>
      </w:tabs>
    </w:pPr>
  </w:style>
  <w:style w:type="character" w:customStyle="1" w:styleId="FooterChar">
    <w:name w:val="Footer Char"/>
    <w:basedOn w:val="DefaultParagraphFont"/>
    <w:link w:val="Footer"/>
    <w:uiPriority w:val="99"/>
    <w:rsid w:val="00D20CDC"/>
    <w:rPr>
      <w:rFonts w:ascii="Times New Roman" w:eastAsia="Times New Roman" w:hAnsi="Times New Roman" w:cs="Times New Roman"/>
      <w:sz w:val="24"/>
      <w:szCs w:val="24"/>
      <w:lang w:eastAsia="en-AU"/>
    </w:rPr>
  </w:style>
  <w:style w:type="character" w:styleId="PageNumber">
    <w:name w:val="page number"/>
    <w:basedOn w:val="DefaultParagraphFont"/>
    <w:rsid w:val="00D20CDC"/>
  </w:style>
  <w:style w:type="paragraph" w:customStyle="1" w:styleId="Default">
    <w:name w:val="Default"/>
    <w:rsid w:val="00D20CDC"/>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ListParagraph">
    <w:name w:val="List Paragraph"/>
    <w:basedOn w:val="Normal"/>
    <w:uiPriority w:val="34"/>
    <w:qFormat/>
    <w:rsid w:val="00D20CDC"/>
    <w:pPr>
      <w:ind w:left="720"/>
    </w:pPr>
    <w:rPr>
      <w:rFonts w:ascii="Calibri" w:eastAsia="Calibri" w:hAnsi="Calibri"/>
      <w:sz w:val="22"/>
      <w:szCs w:val="22"/>
      <w:lang w:eastAsia="en-US"/>
    </w:rPr>
  </w:style>
  <w:style w:type="character" w:styleId="CommentReference">
    <w:name w:val="annotation reference"/>
    <w:rsid w:val="00D20CDC"/>
    <w:rPr>
      <w:sz w:val="16"/>
      <w:szCs w:val="16"/>
    </w:rPr>
  </w:style>
  <w:style w:type="paragraph" w:styleId="CommentText">
    <w:name w:val="annotation text"/>
    <w:basedOn w:val="Normal"/>
    <w:link w:val="CommentTextChar"/>
    <w:rsid w:val="00D20CDC"/>
    <w:rPr>
      <w:sz w:val="20"/>
      <w:szCs w:val="20"/>
    </w:rPr>
  </w:style>
  <w:style w:type="character" w:customStyle="1" w:styleId="CommentTextChar">
    <w:name w:val="Comment Text Char"/>
    <w:basedOn w:val="DefaultParagraphFont"/>
    <w:link w:val="CommentText"/>
    <w:rsid w:val="00D20CDC"/>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D20CDC"/>
    <w:rPr>
      <w:rFonts w:ascii="Tahoma" w:hAnsi="Tahoma" w:cs="Tahoma"/>
      <w:sz w:val="16"/>
      <w:szCs w:val="16"/>
    </w:rPr>
  </w:style>
  <w:style w:type="character" w:customStyle="1" w:styleId="BalloonTextChar">
    <w:name w:val="Balloon Text Char"/>
    <w:basedOn w:val="DefaultParagraphFont"/>
    <w:link w:val="BalloonText"/>
    <w:uiPriority w:val="99"/>
    <w:semiHidden/>
    <w:rsid w:val="00D20CDC"/>
    <w:rPr>
      <w:rFonts w:ascii="Tahoma" w:eastAsia="Times New Roman" w:hAnsi="Tahoma" w:cs="Tahoma"/>
      <w:sz w:val="16"/>
      <w:szCs w:val="16"/>
      <w:lang w:eastAsia="en-AU"/>
    </w:rPr>
  </w:style>
  <w:style w:type="paragraph" w:styleId="Header">
    <w:name w:val="header"/>
    <w:basedOn w:val="Normal"/>
    <w:link w:val="HeaderChar"/>
    <w:unhideWhenUsed/>
    <w:rsid w:val="00816CF5"/>
    <w:pPr>
      <w:tabs>
        <w:tab w:val="center" w:pos="4513"/>
        <w:tab w:val="right" w:pos="9026"/>
      </w:tabs>
    </w:pPr>
  </w:style>
  <w:style w:type="character" w:customStyle="1" w:styleId="HeaderChar">
    <w:name w:val="Header Char"/>
    <w:basedOn w:val="DefaultParagraphFont"/>
    <w:link w:val="Header"/>
    <w:uiPriority w:val="99"/>
    <w:rsid w:val="00816CF5"/>
    <w:rPr>
      <w:rFonts w:ascii="Times New Roman" w:eastAsia="Times New Roman" w:hAnsi="Times New Roman" w:cs="Times New Roman"/>
      <w:sz w:val="24"/>
      <w:szCs w:val="24"/>
      <w:lang w:eastAsia="en-AU"/>
    </w:rPr>
  </w:style>
  <w:style w:type="paragraph" w:styleId="BodyText">
    <w:name w:val="Body Text"/>
    <w:basedOn w:val="Normal"/>
    <w:link w:val="BodyTextChar"/>
    <w:rsid w:val="008E5F08"/>
    <w:pPr>
      <w:jc w:val="right"/>
    </w:pPr>
    <w:rPr>
      <w:rFonts w:ascii="Arial" w:eastAsia="Times" w:hAnsi="Arial"/>
      <w:b/>
      <w:sz w:val="22"/>
      <w:szCs w:val="20"/>
      <w:lang w:eastAsia="en-US"/>
    </w:rPr>
  </w:style>
  <w:style w:type="character" w:customStyle="1" w:styleId="BodyTextChar">
    <w:name w:val="Body Text Char"/>
    <w:basedOn w:val="DefaultParagraphFont"/>
    <w:link w:val="BodyText"/>
    <w:rsid w:val="008E5F08"/>
    <w:rPr>
      <w:rFonts w:ascii="Arial" w:eastAsia="Times" w:hAnsi="Arial" w:cs="Times New Roman"/>
      <w:b/>
      <w:szCs w:val="20"/>
    </w:rPr>
  </w:style>
  <w:style w:type="character" w:styleId="Hyperlink">
    <w:name w:val="Hyperlink"/>
    <w:basedOn w:val="DefaultParagraphFont"/>
    <w:uiPriority w:val="99"/>
    <w:unhideWhenUsed/>
    <w:rsid w:val="009675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CDC"/>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
    <w:basedOn w:val="Normal"/>
    <w:link w:val="FootnoteTextChar"/>
    <w:semiHidden/>
    <w:rsid w:val="00D20CDC"/>
    <w:rPr>
      <w:rFonts w:ascii="Arial" w:hAnsi="Arial"/>
      <w:color w:val="000000"/>
      <w:sz w:val="20"/>
      <w:szCs w:val="20"/>
      <w:lang w:eastAsia="en-US"/>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semiHidden/>
    <w:rsid w:val="00D20CDC"/>
    <w:rPr>
      <w:rFonts w:ascii="Arial" w:eastAsia="Times New Roman" w:hAnsi="Arial" w:cs="Times New Roman"/>
      <w:color w:val="000000"/>
      <w:sz w:val="20"/>
      <w:szCs w:val="20"/>
    </w:rPr>
  </w:style>
  <w:style w:type="character" w:styleId="FootnoteReference">
    <w:name w:val="footnote reference"/>
    <w:semiHidden/>
    <w:rsid w:val="00D20CDC"/>
    <w:rPr>
      <w:rFonts w:cs="Times New Roman"/>
      <w:vertAlign w:val="superscript"/>
    </w:rPr>
  </w:style>
  <w:style w:type="paragraph" w:styleId="Footer">
    <w:name w:val="footer"/>
    <w:basedOn w:val="Normal"/>
    <w:link w:val="FooterChar"/>
    <w:uiPriority w:val="99"/>
    <w:rsid w:val="00D20CDC"/>
    <w:pPr>
      <w:tabs>
        <w:tab w:val="center" w:pos="4153"/>
        <w:tab w:val="right" w:pos="8306"/>
      </w:tabs>
    </w:pPr>
  </w:style>
  <w:style w:type="character" w:customStyle="1" w:styleId="FooterChar">
    <w:name w:val="Footer Char"/>
    <w:basedOn w:val="DefaultParagraphFont"/>
    <w:link w:val="Footer"/>
    <w:uiPriority w:val="99"/>
    <w:rsid w:val="00D20CDC"/>
    <w:rPr>
      <w:rFonts w:ascii="Times New Roman" w:eastAsia="Times New Roman" w:hAnsi="Times New Roman" w:cs="Times New Roman"/>
      <w:sz w:val="24"/>
      <w:szCs w:val="24"/>
      <w:lang w:eastAsia="en-AU"/>
    </w:rPr>
  </w:style>
  <w:style w:type="character" w:styleId="PageNumber">
    <w:name w:val="page number"/>
    <w:basedOn w:val="DefaultParagraphFont"/>
    <w:rsid w:val="00D20CDC"/>
  </w:style>
  <w:style w:type="paragraph" w:customStyle="1" w:styleId="Default">
    <w:name w:val="Default"/>
    <w:rsid w:val="00D20CDC"/>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ListParagraph">
    <w:name w:val="List Paragraph"/>
    <w:basedOn w:val="Normal"/>
    <w:uiPriority w:val="34"/>
    <w:qFormat/>
    <w:rsid w:val="00D20CDC"/>
    <w:pPr>
      <w:ind w:left="720"/>
    </w:pPr>
    <w:rPr>
      <w:rFonts w:ascii="Calibri" w:eastAsia="Calibri" w:hAnsi="Calibri"/>
      <w:sz w:val="22"/>
      <w:szCs w:val="22"/>
      <w:lang w:eastAsia="en-US"/>
    </w:rPr>
  </w:style>
  <w:style w:type="character" w:styleId="CommentReference">
    <w:name w:val="annotation reference"/>
    <w:rsid w:val="00D20CDC"/>
    <w:rPr>
      <w:sz w:val="16"/>
      <w:szCs w:val="16"/>
    </w:rPr>
  </w:style>
  <w:style w:type="paragraph" w:styleId="CommentText">
    <w:name w:val="annotation text"/>
    <w:basedOn w:val="Normal"/>
    <w:link w:val="CommentTextChar"/>
    <w:rsid w:val="00D20CDC"/>
    <w:rPr>
      <w:sz w:val="20"/>
      <w:szCs w:val="20"/>
    </w:rPr>
  </w:style>
  <w:style w:type="character" w:customStyle="1" w:styleId="CommentTextChar">
    <w:name w:val="Comment Text Char"/>
    <w:basedOn w:val="DefaultParagraphFont"/>
    <w:link w:val="CommentText"/>
    <w:rsid w:val="00D20CDC"/>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D20CDC"/>
    <w:rPr>
      <w:rFonts w:ascii="Tahoma" w:hAnsi="Tahoma" w:cs="Tahoma"/>
      <w:sz w:val="16"/>
      <w:szCs w:val="16"/>
    </w:rPr>
  </w:style>
  <w:style w:type="character" w:customStyle="1" w:styleId="BalloonTextChar">
    <w:name w:val="Balloon Text Char"/>
    <w:basedOn w:val="DefaultParagraphFont"/>
    <w:link w:val="BalloonText"/>
    <w:uiPriority w:val="99"/>
    <w:semiHidden/>
    <w:rsid w:val="00D20CDC"/>
    <w:rPr>
      <w:rFonts w:ascii="Tahoma" w:eastAsia="Times New Roman" w:hAnsi="Tahoma" w:cs="Tahoma"/>
      <w:sz w:val="16"/>
      <w:szCs w:val="16"/>
      <w:lang w:eastAsia="en-AU"/>
    </w:rPr>
  </w:style>
  <w:style w:type="paragraph" w:styleId="Header">
    <w:name w:val="header"/>
    <w:basedOn w:val="Normal"/>
    <w:link w:val="HeaderChar"/>
    <w:unhideWhenUsed/>
    <w:rsid w:val="00816CF5"/>
    <w:pPr>
      <w:tabs>
        <w:tab w:val="center" w:pos="4513"/>
        <w:tab w:val="right" w:pos="9026"/>
      </w:tabs>
    </w:pPr>
  </w:style>
  <w:style w:type="character" w:customStyle="1" w:styleId="HeaderChar">
    <w:name w:val="Header Char"/>
    <w:basedOn w:val="DefaultParagraphFont"/>
    <w:link w:val="Header"/>
    <w:uiPriority w:val="99"/>
    <w:rsid w:val="00816CF5"/>
    <w:rPr>
      <w:rFonts w:ascii="Times New Roman" w:eastAsia="Times New Roman" w:hAnsi="Times New Roman" w:cs="Times New Roman"/>
      <w:sz w:val="24"/>
      <w:szCs w:val="24"/>
      <w:lang w:eastAsia="en-AU"/>
    </w:rPr>
  </w:style>
  <w:style w:type="paragraph" w:styleId="BodyText">
    <w:name w:val="Body Text"/>
    <w:basedOn w:val="Normal"/>
    <w:link w:val="BodyTextChar"/>
    <w:rsid w:val="008E5F08"/>
    <w:pPr>
      <w:jc w:val="right"/>
    </w:pPr>
    <w:rPr>
      <w:rFonts w:ascii="Arial" w:eastAsia="Times" w:hAnsi="Arial"/>
      <w:b/>
      <w:sz w:val="22"/>
      <w:szCs w:val="20"/>
      <w:lang w:eastAsia="en-US"/>
    </w:rPr>
  </w:style>
  <w:style w:type="character" w:customStyle="1" w:styleId="BodyTextChar">
    <w:name w:val="Body Text Char"/>
    <w:basedOn w:val="DefaultParagraphFont"/>
    <w:link w:val="BodyText"/>
    <w:rsid w:val="008E5F08"/>
    <w:rPr>
      <w:rFonts w:ascii="Arial" w:eastAsia="Times" w:hAnsi="Arial" w:cs="Times New Roman"/>
      <w:b/>
      <w:szCs w:val="20"/>
    </w:rPr>
  </w:style>
  <w:style w:type="character" w:styleId="Hyperlink">
    <w:name w:val="Hyperlink"/>
    <w:basedOn w:val="DefaultParagraphFont"/>
    <w:uiPriority w:val="99"/>
    <w:unhideWhenUsed/>
    <w:rsid w:val="009675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fes.nt.gov.au/Police/Community-safety/Family-Safety-Framework.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omesticviolence.nt.gov.au/documents/Domestic_Violence_Strategy.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veyoursay.nsw.gov.au/assets/Uploads/DVDS-Discussion-Paper.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v.uk/government/uploads/system/uploads/attachment_data/file/260894/DVDS_assessment_report.pdf"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upremecourt.nt.gov.au/archive/doc/judgements/2006/ntcca/pdf/20060510ntcca9.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urts.state.hi.us/docs/news_and_reports_docs/State_of_%20the_Art_of_HOPE_Probation.pdf" TargetMode="External"/><Relationship Id="rId2" Type="http://schemas.openxmlformats.org/officeDocument/2006/relationships/hyperlink" Target="http://www.clant.org.au/images/images/Serious_Sex_Offenders_Act_2013.pdf" TargetMode="External"/><Relationship Id="rId1" Type="http://schemas.openxmlformats.org/officeDocument/2006/relationships/hyperlink" Target="http://www.clant.org.au/images/images/Daniels_Law_121115.pdf" TargetMode="External"/><Relationship Id="rId4" Type="http://schemas.openxmlformats.org/officeDocument/2006/relationships/hyperlink" Target="http://clant.org.au/images/images/Letter_CM_23_August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A304-0750-435A-825F-C2C47EE4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B9FE1FA9</Template>
  <TotalTime>237</TotalTime>
  <Pages>7</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Goldflam</dc:creator>
  <cp:lastModifiedBy>Russell Goldflam</cp:lastModifiedBy>
  <cp:revision>16</cp:revision>
  <dcterms:created xsi:type="dcterms:W3CDTF">2015-11-22T03:43:00Z</dcterms:created>
  <dcterms:modified xsi:type="dcterms:W3CDTF">2015-11-25T08:38:00Z</dcterms:modified>
</cp:coreProperties>
</file>